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5CC15" w14:textId="77777777" w:rsidR="00B159B4" w:rsidRPr="00A7595E" w:rsidRDefault="000000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A7595E">
        <w:rPr>
          <w:b/>
          <w:sz w:val="24"/>
          <w:szCs w:val="24"/>
          <w:lang w:val="ro-RO"/>
        </w:rPr>
        <w:t>NOTA DE FUNDAMENTARE</w:t>
      </w:r>
    </w:p>
    <w:p w14:paraId="4D2F0903" w14:textId="79BD4765" w:rsidR="00B159B4" w:rsidRPr="00A7595E" w:rsidRDefault="000000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A7595E">
        <w:rPr>
          <w:b/>
          <w:sz w:val="24"/>
          <w:szCs w:val="24"/>
          <w:lang w:val="ro-RO"/>
        </w:rPr>
        <w:t xml:space="preserve">la proiectul </w:t>
      </w:r>
      <w:r w:rsidR="008B34FE" w:rsidRPr="00A7595E">
        <w:rPr>
          <w:b/>
          <w:sz w:val="24"/>
          <w:szCs w:val="24"/>
          <w:lang w:val="ro-RO"/>
        </w:rPr>
        <w:t xml:space="preserve">hotărârii </w:t>
      </w:r>
      <w:r w:rsidR="00D7124E" w:rsidRPr="00A7595E">
        <w:rPr>
          <w:b/>
          <w:sz w:val="24"/>
          <w:szCs w:val="24"/>
          <w:lang w:val="ro-RO"/>
        </w:rPr>
        <w:t>Guvernului cu privire modificarea unor hotărâri ale Guvernului (structura organizatorică a Agenției Naționale pentru Sănătate Publică)</w:t>
      </w:r>
    </w:p>
    <w:p w14:paraId="6D7B3BF0" w14:textId="77777777" w:rsidR="00D7124E" w:rsidRPr="00A7595E" w:rsidRDefault="00D7124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052"/>
      </w:tblGrid>
      <w:tr w:rsidR="00B159B4" w:rsidRPr="0036045D" w14:paraId="73C61EC9" w14:textId="77777777" w:rsidTr="00B867EB">
        <w:tc>
          <w:tcPr>
            <w:tcW w:w="905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07997ED" w14:textId="77777777" w:rsidR="00B159B4" w:rsidRPr="00A7595E" w:rsidRDefault="00000000">
            <w:pPr>
              <w:rPr>
                <w:rFonts w:ascii="Times New Roman" w:hAnsi="Times New Roman"/>
                <w:b/>
                <w:bCs/>
                <w:sz w:val="24"/>
                <w:szCs w:val="24"/>
                <w:lang w:val="ro-RO"/>
              </w:rPr>
            </w:pPr>
            <w:r w:rsidRPr="00A7595E">
              <w:rPr>
                <w:rFonts w:ascii="Times New Roman" w:hAnsi="Times New Roman"/>
                <w:b/>
                <w:bCs/>
                <w:sz w:val="24"/>
                <w:szCs w:val="24"/>
                <w:lang w:val="ro-RO"/>
              </w:rPr>
              <w:t>1. Denumirea sau numele autorului și, după caz, a/al participanților la elaborarea proiectului actului normativ</w:t>
            </w:r>
          </w:p>
        </w:tc>
      </w:tr>
      <w:tr w:rsidR="00B159B4" w:rsidRPr="0036045D" w14:paraId="6992158B" w14:textId="77777777" w:rsidTr="00B867EB">
        <w:tc>
          <w:tcPr>
            <w:tcW w:w="90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97EDFF" w14:textId="065D583A" w:rsidR="00B159B4" w:rsidRPr="00A7595E" w:rsidRDefault="00F62BB6">
            <w:pPr>
              <w:rPr>
                <w:rFonts w:ascii="Times New Roman" w:hAnsi="Times New Roman"/>
                <w:sz w:val="24"/>
                <w:szCs w:val="24"/>
                <w:lang w:val="ro-RO"/>
              </w:rPr>
            </w:pPr>
            <w:r w:rsidRPr="00A7595E">
              <w:rPr>
                <w:rFonts w:ascii="Times New Roman" w:hAnsi="Times New Roman"/>
                <w:sz w:val="24"/>
                <w:szCs w:val="24"/>
                <w:lang w:val="ro-RO"/>
              </w:rPr>
              <w:t xml:space="preserve">Proiectul </w:t>
            </w:r>
            <w:r w:rsidR="001B0744">
              <w:rPr>
                <w:rFonts w:ascii="Times New Roman" w:hAnsi="Times New Roman"/>
                <w:sz w:val="24"/>
                <w:szCs w:val="24"/>
                <w:lang w:val="ro-RO"/>
              </w:rPr>
              <w:t>h</w:t>
            </w:r>
            <w:r w:rsidRPr="00A7595E">
              <w:rPr>
                <w:rFonts w:ascii="Times New Roman" w:hAnsi="Times New Roman"/>
                <w:sz w:val="24"/>
                <w:szCs w:val="24"/>
                <w:lang w:val="ro-RO"/>
              </w:rPr>
              <w:t>otărârii Guvernului cu privire modificarea unor hotărâri ale Guvernului (structura organizatorică a Agenției Naționale pentru Sănătate Publică) este elaborat de către Ministerul Sănătății de comun cu Agenția Națională pentru Sănătate Publică (în continuare ANSP).</w:t>
            </w:r>
          </w:p>
        </w:tc>
      </w:tr>
      <w:tr w:rsidR="00B159B4" w:rsidRPr="0036045D" w14:paraId="611228BF"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4516165" w14:textId="77777777" w:rsidR="00B159B4" w:rsidRPr="00A7595E" w:rsidRDefault="00000000">
            <w:pPr>
              <w:rPr>
                <w:rFonts w:ascii="Times New Roman" w:hAnsi="Times New Roman"/>
                <w:b/>
                <w:bCs/>
                <w:sz w:val="24"/>
                <w:szCs w:val="24"/>
                <w:lang w:val="ro-RO"/>
              </w:rPr>
            </w:pPr>
            <w:r w:rsidRPr="00A7595E">
              <w:rPr>
                <w:rFonts w:ascii="Times New Roman" w:hAnsi="Times New Roman"/>
                <w:b/>
                <w:bCs/>
                <w:sz w:val="24"/>
                <w:szCs w:val="24"/>
                <w:lang w:val="ro-RO"/>
              </w:rPr>
              <w:t>2. Condițiile ce au impus elaborarea proiectului actului normativ</w:t>
            </w:r>
          </w:p>
        </w:tc>
      </w:tr>
      <w:tr w:rsidR="00B159B4" w:rsidRPr="0036045D" w14:paraId="18787926"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B2050D" w14:textId="77777777" w:rsidR="00B159B4" w:rsidRPr="00A7595E" w:rsidRDefault="00000000">
            <w:pPr>
              <w:rPr>
                <w:rFonts w:ascii="Times New Roman" w:hAnsi="Times New Roman"/>
                <w:sz w:val="24"/>
                <w:szCs w:val="24"/>
                <w:lang w:val="ro-RO"/>
              </w:rPr>
            </w:pPr>
            <w:r w:rsidRPr="00A7595E">
              <w:rPr>
                <w:rFonts w:ascii="Times New Roman" w:hAnsi="Times New Roman"/>
                <w:sz w:val="24"/>
                <w:szCs w:val="24"/>
                <w:lang w:val="ro-RO"/>
              </w:rPr>
              <w:t>2.1. Temeiul legal sau, după caz, sursa proiectului actului normativ</w:t>
            </w:r>
          </w:p>
        </w:tc>
      </w:tr>
      <w:tr w:rsidR="00121568" w:rsidRPr="0036045D" w14:paraId="2D7BEB17"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200825" w14:textId="6B5B6B15" w:rsidR="00F62BB6" w:rsidRPr="00A7595E" w:rsidRDefault="00121568" w:rsidP="001B0744">
            <w:pPr>
              <w:rPr>
                <w:rFonts w:ascii="Times New Roman" w:hAnsi="Times New Roman"/>
                <w:sz w:val="24"/>
                <w:szCs w:val="24"/>
                <w:lang w:val="ro-RO"/>
              </w:rPr>
            </w:pPr>
            <w:r w:rsidRPr="00A7595E">
              <w:rPr>
                <w:rFonts w:ascii="Times New Roman" w:hAnsi="Times New Roman"/>
                <w:sz w:val="24"/>
                <w:szCs w:val="24"/>
                <w:lang w:val="ro-RO"/>
              </w:rPr>
              <w:t xml:space="preserve">Proiectul hotărârii Guvernului </w:t>
            </w:r>
            <w:r w:rsidR="001B0744" w:rsidRPr="001B0744">
              <w:rPr>
                <w:rFonts w:ascii="Times New Roman" w:hAnsi="Times New Roman"/>
                <w:sz w:val="24"/>
                <w:szCs w:val="24"/>
                <w:lang w:val="ro-RO"/>
              </w:rPr>
              <w:t>cu privire modificarea unor hotărâri ale Guvernului (structura organizatorică a Agenției Naționale pentru Sănătate Publică)</w:t>
            </w:r>
            <w:r w:rsidR="001B0744">
              <w:rPr>
                <w:rFonts w:ascii="Times New Roman" w:hAnsi="Times New Roman"/>
                <w:sz w:val="24"/>
                <w:szCs w:val="24"/>
                <w:lang w:val="ro-RO"/>
              </w:rPr>
              <w:t xml:space="preserve"> </w:t>
            </w:r>
            <w:r w:rsidR="008B34FE" w:rsidRPr="00A7595E">
              <w:rPr>
                <w:rFonts w:ascii="Times New Roman" w:hAnsi="Times New Roman"/>
                <w:sz w:val="24"/>
                <w:szCs w:val="24"/>
                <w:lang w:val="ro-RO"/>
              </w:rPr>
              <w:t xml:space="preserve">este elaborat în baza </w:t>
            </w:r>
            <w:r w:rsidR="00F62BB6" w:rsidRPr="00A7595E">
              <w:rPr>
                <w:rFonts w:ascii="Times New Roman" w:hAnsi="Times New Roman"/>
                <w:sz w:val="24"/>
                <w:szCs w:val="24"/>
                <w:lang w:val="ro-RO"/>
              </w:rPr>
              <w:t>prevederilor Legii nr. 136/2017 cu privire la Guvern, Legii nr. 216/2023 pentru modificarea unor acte normative în scopul optimizării activității Agenției Naționale pentru Sănătate Publică și a Legii nr. 339/2023 pentru modificarea unor acte normative (sănătatea reproducerii).</w:t>
            </w:r>
          </w:p>
          <w:p w14:paraId="0A605A7C" w14:textId="55AC4ABB" w:rsidR="00121568"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Aceste legi au permis excluderea competențelor improprii din atribuțiile ANSP și au fost necesare pentru a ajusta structura și funcțiile ANSP conform cadrului normativ actual.</w:t>
            </w:r>
          </w:p>
        </w:tc>
      </w:tr>
      <w:tr w:rsidR="00B159B4" w:rsidRPr="0036045D" w14:paraId="1D9E8C14"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0CC6DD6" w14:textId="77777777" w:rsidR="00B159B4" w:rsidRPr="00A7595E" w:rsidRDefault="00000000">
            <w:pPr>
              <w:rPr>
                <w:rFonts w:ascii="Times New Roman" w:hAnsi="Times New Roman"/>
                <w:sz w:val="24"/>
                <w:szCs w:val="24"/>
                <w:lang w:val="ro-RO"/>
              </w:rPr>
            </w:pPr>
            <w:r w:rsidRPr="00A7595E">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B159B4" w:rsidRPr="0036045D" w14:paraId="06D903EF"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65C56F" w14:textId="77777777"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Proiectul de hotărâre a Guvernului este elaborat în scopul optimizării structurii organizaționale și atribuțiilor funcționale ale ANSP.</w:t>
            </w:r>
          </w:p>
          <w:p w14:paraId="025413D6" w14:textId="77777777"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 xml:space="preserve">Reorganizarea serviciului supravegherii de stat a sănătății publice din 2017 a generat o serie de probleme și disfuncționalități, care a contribuit la impedimente pentru dezvoltarea sistemului de sănătate publică și realizarea eficientă ale atribuțiilor instituției. Comasarea competențelor de control ale mai multor autorități la ANSP privind efectuarea controlului de stat în domenii improprii sănătății publice, incluse în Legea nr. 216/2023 pentru modificarea unor acte normative în scopul optimizării activității Agenției Naționale pentru Sănătate Publică și Legea nr. 339/2023 pentru modificarea unor acte normative (sănătatea reproducerii), au creat deficiențe în controlul de stat al sănătății publice. </w:t>
            </w:r>
          </w:p>
          <w:p w14:paraId="6E89AA6B" w14:textId="77777777"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 xml:space="preserve">Atribuțiile ANSP au inclus suplimentar celor existente controlul în domeniul circulației medicamentelor, produselor </w:t>
            </w:r>
            <w:proofErr w:type="spellStart"/>
            <w:r w:rsidRPr="00A7595E">
              <w:rPr>
                <w:rFonts w:ascii="Times New Roman" w:hAnsi="Times New Roman"/>
                <w:sz w:val="24"/>
                <w:szCs w:val="24"/>
                <w:lang w:val="ro-RO"/>
              </w:rPr>
              <w:t>parafarmaceutice</w:t>
            </w:r>
            <w:proofErr w:type="spellEnd"/>
            <w:r w:rsidRPr="00A7595E">
              <w:rPr>
                <w:rFonts w:ascii="Times New Roman" w:hAnsi="Times New Roman"/>
                <w:sz w:val="24"/>
                <w:szCs w:val="24"/>
                <w:lang w:val="ro-RO"/>
              </w:rPr>
              <w:t>, dispozitivelor medicale, produselor farmaceutice, circulația legală a substanțelor stupefiante, psihotrope și a precursorilor, precum și controlul activității titularilor de autorizație/licență legate de circulația substanțelor stupefiante și controlului calității în domeniul transplantului.</w:t>
            </w:r>
          </w:p>
          <w:p w14:paraId="325BB51F" w14:textId="77777777"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În acest context, Ministerul Sănătății a intervenit cu modificări în Legea nr. 216/2023 pentru modificarea unor acte normative în scopul optimizării activității Agenției Naționale pentru Sănătate Publică și Legea nr. 339/2023 pentru modificarea unor acte normative (sănătatea reproducerii), care au permis excluderea acestor competențe improprii din atribuțiile ANSP.</w:t>
            </w:r>
          </w:p>
          <w:p w14:paraId="0340468C" w14:textId="77777777"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 xml:space="preserve">În continuare, a fost elaborat proiectul privind revizuirea structurii organizatorice a ANSP, care vine să fortifice capacitățile instituționale în domeniul sănătății publice. Proiectul vine cu operarea de modificări în Hotărârea Guvernului nr. 1090/2017 cu privire la organizarea și funcționarea Agenției Naționale pentru Sănătate Publică și Hotărârea Guvernului nr. 148/2021 cu privire la organizarea </w:t>
            </w:r>
            <w:proofErr w:type="spellStart"/>
            <w:r w:rsidRPr="00A7595E">
              <w:rPr>
                <w:rFonts w:ascii="Times New Roman" w:hAnsi="Times New Roman"/>
                <w:sz w:val="24"/>
                <w:szCs w:val="24"/>
                <w:lang w:val="ro-RO"/>
              </w:rPr>
              <w:t>şi</w:t>
            </w:r>
            <w:proofErr w:type="spellEnd"/>
            <w:r w:rsidRPr="00A7595E">
              <w:rPr>
                <w:rFonts w:ascii="Times New Roman" w:hAnsi="Times New Roman"/>
                <w:sz w:val="24"/>
                <w:szCs w:val="24"/>
                <w:lang w:val="ro-RO"/>
              </w:rPr>
              <w:t xml:space="preserve"> funcționarea Ministerului Sănătății.</w:t>
            </w:r>
          </w:p>
          <w:p w14:paraId="53DF2BFF" w14:textId="79305B6B"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Proiectul a fost elaborat în baza evalu</w:t>
            </w:r>
            <w:r w:rsidR="001B0744">
              <w:rPr>
                <w:rFonts w:ascii="Times New Roman" w:hAnsi="Times New Roman"/>
                <w:sz w:val="24"/>
                <w:szCs w:val="24"/>
                <w:lang w:val="ro-RO"/>
              </w:rPr>
              <w:t>ării</w:t>
            </w:r>
            <w:r w:rsidRPr="00A7595E">
              <w:rPr>
                <w:rFonts w:ascii="Times New Roman" w:hAnsi="Times New Roman"/>
                <w:sz w:val="24"/>
                <w:szCs w:val="24"/>
                <w:lang w:val="ro-RO"/>
              </w:rPr>
              <w:t xml:space="preserve"> situației curente a ANSP și a subdiviziunilor acesteia, inclusiv teritoriale și a identificat mecanismul eficient de organizare și funcționare.</w:t>
            </w:r>
          </w:p>
          <w:p w14:paraId="33A7A5E3" w14:textId="77777777"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lastRenderedPageBreak/>
              <w:t xml:space="preserve">De asemenea, Hotărârea Guvernului nr. 1090/2017 a fost ajustată conform modificărilor aduse în Legea nr. 216/2023 pentru modificarea unor acte normative în scopul optimizării activității Agenției Naționale pentru Sănătate Publică și Legea nr. 339/2023 pentru modificarea unor acte normative (sănătatea reproducerii) și totodată, a fost suplimentate domeniile de competență atribuite ANSP privind asigurarea supravegherii pieței și conformității produselor nealimentare plasate pe piață, responsabilități privind implementarea actelor legislative în domeniul bolilor netransmisibile, fortificarea mecanismului de control, monitorizare și/sau sancționare. </w:t>
            </w:r>
          </w:p>
          <w:p w14:paraId="4193D48D" w14:textId="77777777"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 xml:space="preserve">Totodată, a fost instituit serviciul de control intern și integritate în cadrul ANSP care va contribui la perfecționarea sistemului de control intern și monitorizarea </w:t>
            </w:r>
            <w:proofErr w:type="spellStart"/>
            <w:r w:rsidRPr="00A7595E">
              <w:rPr>
                <w:rFonts w:ascii="Times New Roman" w:hAnsi="Times New Roman"/>
                <w:sz w:val="24"/>
                <w:szCs w:val="24"/>
                <w:lang w:val="ro-RO"/>
              </w:rPr>
              <w:t>disciplinii</w:t>
            </w:r>
            <w:proofErr w:type="spellEnd"/>
            <w:r w:rsidRPr="00A7595E">
              <w:rPr>
                <w:rFonts w:ascii="Times New Roman" w:hAnsi="Times New Roman"/>
                <w:sz w:val="24"/>
                <w:szCs w:val="24"/>
                <w:lang w:val="ro-RO"/>
              </w:rPr>
              <w:t xml:space="preserve"> muncii și integritatea angajaților, va asigura implementarea conformă a politicii privind intoleranța față de incidentele de integritate, inclusiv sancționarea disciplinară a tuturor incidentelor de integritate ce constituie abateri disciplinare admise de funcționarii publici.</w:t>
            </w:r>
          </w:p>
          <w:p w14:paraId="5F4DEBF4" w14:textId="787004C8"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 xml:space="preserve">Controlul bolilor transmisibile, în contextul pandemiei COVID-19, dar și războiul de la hotarele RM au creat noi cerințe față de domeniul de supraveghere și control a bolilor transmisibile, laborator, urgențelor de sănătate publică, care implică pregătirea și răspunsul la urgențele chimice, biologice și </w:t>
            </w:r>
            <w:proofErr w:type="spellStart"/>
            <w:r w:rsidRPr="00A7595E">
              <w:rPr>
                <w:rFonts w:ascii="Times New Roman" w:hAnsi="Times New Roman"/>
                <w:sz w:val="24"/>
                <w:szCs w:val="24"/>
                <w:lang w:val="ro-RO"/>
              </w:rPr>
              <w:t>radionucleare</w:t>
            </w:r>
            <w:proofErr w:type="spellEnd"/>
            <w:r w:rsidRPr="00A7595E">
              <w:rPr>
                <w:rFonts w:ascii="Times New Roman" w:hAnsi="Times New Roman"/>
                <w:sz w:val="24"/>
                <w:szCs w:val="24"/>
                <w:lang w:val="ro-RO"/>
              </w:rPr>
              <w:t xml:space="preserve">. Structurile ANSP au fost ajustate pentru a face față cerințelor </w:t>
            </w:r>
            <w:r w:rsidR="00602ACF">
              <w:rPr>
                <w:rFonts w:ascii="Times New Roman" w:hAnsi="Times New Roman"/>
                <w:sz w:val="24"/>
                <w:szCs w:val="24"/>
                <w:lang w:val="ro-RO"/>
              </w:rPr>
              <w:t xml:space="preserve">naționale și </w:t>
            </w:r>
            <w:r w:rsidRPr="00A7595E">
              <w:rPr>
                <w:rFonts w:ascii="Times New Roman" w:hAnsi="Times New Roman"/>
                <w:sz w:val="24"/>
                <w:szCs w:val="24"/>
                <w:lang w:val="ro-RO"/>
              </w:rPr>
              <w:t>internaționale în domeniile menționate.</w:t>
            </w:r>
          </w:p>
          <w:p w14:paraId="4B61DB76" w14:textId="31F55633" w:rsidR="00F62BB6"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Proiectul de Hotărâre a Guvernului este elaborat în scopul soluționării deficienților depistate în activitatea ANSP</w:t>
            </w:r>
            <w:r w:rsidR="00602ACF">
              <w:rPr>
                <w:rFonts w:ascii="Times New Roman" w:hAnsi="Times New Roman"/>
                <w:sz w:val="24"/>
                <w:szCs w:val="24"/>
                <w:lang w:val="ro-RO"/>
              </w:rPr>
              <w:t xml:space="preserve"> prin </w:t>
            </w:r>
            <w:r w:rsidRPr="00A7595E">
              <w:rPr>
                <w:rFonts w:ascii="Times New Roman" w:hAnsi="Times New Roman"/>
                <w:sz w:val="24"/>
                <w:szCs w:val="24"/>
                <w:lang w:val="ro-RO"/>
              </w:rPr>
              <w:t>ajust</w:t>
            </w:r>
            <w:r w:rsidR="00602ACF">
              <w:rPr>
                <w:rFonts w:ascii="Times New Roman" w:hAnsi="Times New Roman"/>
                <w:sz w:val="24"/>
                <w:szCs w:val="24"/>
                <w:lang w:val="ro-RO"/>
              </w:rPr>
              <w:t>area</w:t>
            </w:r>
            <w:r w:rsidRPr="00A7595E">
              <w:rPr>
                <w:rFonts w:ascii="Times New Roman" w:hAnsi="Times New Roman"/>
                <w:sz w:val="24"/>
                <w:szCs w:val="24"/>
                <w:lang w:val="ro-RO"/>
              </w:rPr>
              <w:t xml:space="preserve"> structurii și funcțiilor ANSP la modificările cadrului normativ menționat, optimizării structurii organizaționale a instituției, astfel încât să fie îmbunătățite toate procesele funcționale ale sistemului de sănătate publică.</w:t>
            </w:r>
          </w:p>
          <w:p w14:paraId="66708CDE" w14:textId="042D2652" w:rsidR="0035322F" w:rsidRPr="00A7595E" w:rsidRDefault="00F62BB6" w:rsidP="00F62BB6">
            <w:pPr>
              <w:rPr>
                <w:rFonts w:ascii="Times New Roman" w:hAnsi="Times New Roman"/>
                <w:sz w:val="24"/>
                <w:szCs w:val="24"/>
                <w:lang w:val="ro-RO"/>
              </w:rPr>
            </w:pPr>
            <w:r w:rsidRPr="00A7595E">
              <w:rPr>
                <w:rFonts w:ascii="Times New Roman" w:hAnsi="Times New Roman"/>
                <w:sz w:val="24"/>
                <w:szCs w:val="24"/>
                <w:lang w:val="ro-RO"/>
              </w:rPr>
              <w:t>Finalitățile estimate în cadrul acestui proiect vizează fortificarea consolidată a serviciului supraveghere de stat în scopul protecției sănătății publice.</w:t>
            </w:r>
          </w:p>
        </w:tc>
      </w:tr>
      <w:tr w:rsidR="00B159B4" w:rsidRPr="00A7595E" w14:paraId="020AA03F"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E788EC9" w14:textId="77777777" w:rsidR="00B159B4" w:rsidRPr="00A7595E" w:rsidRDefault="00000000">
            <w:pPr>
              <w:rPr>
                <w:rFonts w:ascii="Times New Roman" w:hAnsi="Times New Roman"/>
                <w:b/>
                <w:bCs/>
                <w:sz w:val="24"/>
                <w:szCs w:val="24"/>
                <w:lang w:val="ro-RO"/>
              </w:rPr>
            </w:pPr>
            <w:r w:rsidRPr="00A7595E">
              <w:rPr>
                <w:rFonts w:ascii="Times New Roman" w:hAnsi="Times New Roman"/>
                <w:b/>
                <w:bCs/>
                <w:sz w:val="24"/>
                <w:szCs w:val="24"/>
                <w:lang w:val="ro-RO"/>
              </w:rPr>
              <w:lastRenderedPageBreak/>
              <w:t>3. Obiectivele urmărite și soluțiile propuse</w:t>
            </w:r>
          </w:p>
        </w:tc>
      </w:tr>
      <w:tr w:rsidR="00656223" w:rsidRPr="0036045D" w14:paraId="259A0410"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5C4EC2" w14:textId="77777777" w:rsidR="00656223" w:rsidRPr="00A7595E" w:rsidRDefault="00656223" w:rsidP="00656223">
            <w:pPr>
              <w:rPr>
                <w:rFonts w:ascii="Times New Roman" w:hAnsi="Times New Roman"/>
                <w:sz w:val="24"/>
                <w:szCs w:val="24"/>
                <w:lang w:val="ro-RO"/>
              </w:rPr>
            </w:pPr>
            <w:r w:rsidRPr="00A7595E">
              <w:rPr>
                <w:rFonts w:ascii="Times New Roman" w:hAnsi="Times New Roman"/>
                <w:sz w:val="24"/>
                <w:szCs w:val="24"/>
                <w:lang w:val="ro-RO"/>
              </w:rPr>
              <w:t>Prezentul proiect de hotărâre are drept scop optimizarea structurii organizaționale și atribuțiile funcționale ale ANSP, astfel încât să se îmbunătățească toate procesele funcționale ale sistemului de sănătate publică și să se soluționeze deficiențele identificate în cadrul controlului de stat al sănătății publice.</w:t>
            </w:r>
          </w:p>
          <w:p w14:paraId="4E466FB9" w14:textId="77777777" w:rsidR="00656223" w:rsidRPr="00A7595E" w:rsidRDefault="00656223" w:rsidP="00656223">
            <w:pPr>
              <w:rPr>
                <w:rFonts w:ascii="Times New Roman" w:hAnsi="Times New Roman"/>
                <w:sz w:val="24"/>
                <w:szCs w:val="24"/>
                <w:lang w:val="ro-RO"/>
              </w:rPr>
            </w:pPr>
            <w:r w:rsidRPr="00A7595E">
              <w:rPr>
                <w:rFonts w:ascii="Times New Roman" w:hAnsi="Times New Roman"/>
                <w:sz w:val="24"/>
                <w:szCs w:val="24"/>
                <w:lang w:val="ro-RO"/>
              </w:rPr>
              <w:t>Obiectivele urmărite prin adoptarea actului normativ includ:</w:t>
            </w:r>
          </w:p>
          <w:p w14:paraId="7F38E0CC" w14:textId="683D2183" w:rsidR="00656223" w:rsidRPr="00A7595E" w:rsidRDefault="00656223" w:rsidP="004C3717">
            <w:pPr>
              <w:pStyle w:val="ListParagraph"/>
              <w:numPr>
                <w:ilvl w:val="0"/>
                <w:numId w:val="46"/>
              </w:numPr>
              <w:ind w:left="0" w:firstLine="284"/>
              <w:rPr>
                <w:rFonts w:ascii="Times New Roman" w:hAnsi="Times New Roman"/>
                <w:sz w:val="24"/>
                <w:szCs w:val="24"/>
                <w:lang w:val="ro-RO"/>
              </w:rPr>
            </w:pPr>
            <w:r w:rsidRPr="00A7595E">
              <w:rPr>
                <w:rFonts w:ascii="Times New Roman" w:hAnsi="Times New Roman"/>
                <w:sz w:val="24"/>
                <w:szCs w:val="24"/>
                <w:lang w:val="ro-RO"/>
              </w:rPr>
              <w:t xml:space="preserve">optimizarea structurii organizaționale a ANSP pentru a îmbunătăți eficiența operațională și funcționalitatea </w:t>
            </w:r>
            <w:r w:rsidR="00602ACF">
              <w:rPr>
                <w:rFonts w:ascii="Times New Roman" w:hAnsi="Times New Roman"/>
                <w:sz w:val="24"/>
                <w:szCs w:val="24"/>
                <w:lang w:val="ro-RO"/>
              </w:rPr>
              <w:t>ANSP</w:t>
            </w:r>
            <w:r w:rsidRPr="00A7595E">
              <w:rPr>
                <w:rFonts w:ascii="Times New Roman" w:hAnsi="Times New Roman"/>
                <w:sz w:val="24"/>
                <w:szCs w:val="24"/>
                <w:lang w:val="ro-RO"/>
              </w:rPr>
              <w:t>;</w:t>
            </w:r>
          </w:p>
          <w:p w14:paraId="4414F516" w14:textId="77777777" w:rsidR="00656223" w:rsidRPr="00A7595E" w:rsidRDefault="00656223" w:rsidP="004C3717">
            <w:pPr>
              <w:pStyle w:val="ListParagraph"/>
              <w:numPr>
                <w:ilvl w:val="0"/>
                <w:numId w:val="46"/>
              </w:numPr>
              <w:ind w:left="0" w:firstLine="284"/>
              <w:rPr>
                <w:rFonts w:ascii="Times New Roman" w:hAnsi="Times New Roman"/>
                <w:sz w:val="24"/>
                <w:szCs w:val="24"/>
                <w:lang w:val="ro-RO"/>
              </w:rPr>
            </w:pPr>
            <w:r w:rsidRPr="00A7595E">
              <w:rPr>
                <w:rFonts w:ascii="Times New Roman" w:hAnsi="Times New Roman"/>
                <w:sz w:val="24"/>
                <w:szCs w:val="24"/>
                <w:lang w:val="ro-RO"/>
              </w:rPr>
              <w:t>excluderea din atribuțiile ANSP a competențelor de control în domenii improprii sănătății publice;</w:t>
            </w:r>
          </w:p>
          <w:p w14:paraId="730B13F2" w14:textId="77777777" w:rsidR="00656223" w:rsidRPr="00A7595E" w:rsidRDefault="00656223" w:rsidP="004C3717">
            <w:pPr>
              <w:pStyle w:val="ListParagraph"/>
              <w:numPr>
                <w:ilvl w:val="0"/>
                <w:numId w:val="46"/>
              </w:numPr>
              <w:ind w:left="0" w:firstLine="284"/>
              <w:rPr>
                <w:rFonts w:ascii="Times New Roman" w:hAnsi="Times New Roman"/>
                <w:sz w:val="24"/>
                <w:szCs w:val="24"/>
                <w:lang w:val="ro-RO"/>
              </w:rPr>
            </w:pPr>
            <w:r w:rsidRPr="00A7595E">
              <w:rPr>
                <w:rFonts w:ascii="Times New Roman" w:hAnsi="Times New Roman"/>
                <w:sz w:val="24"/>
                <w:szCs w:val="24"/>
                <w:lang w:val="ro-RO"/>
              </w:rPr>
              <w:t>consolidarea capacităților ANSP pentru a răspunde mai eficient la urgențele de sănătate publică și la cerințele internaționale în domeniul sănătății publice;</w:t>
            </w:r>
          </w:p>
          <w:p w14:paraId="0B092BA5" w14:textId="77777777" w:rsidR="00656223" w:rsidRPr="00A7595E" w:rsidRDefault="00656223" w:rsidP="004C3717">
            <w:pPr>
              <w:pStyle w:val="ListParagraph"/>
              <w:numPr>
                <w:ilvl w:val="0"/>
                <w:numId w:val="46"/>
              </w:numPr>
              <w:ind w:left="0" w:firstLine="284"/>
              <w:rPr>
                <w:rFonts w:ascii="Times New Roman" w:hAnsi="Times New Roman"/>
                <w:sz w:val="24"/>
                <w:szCs w:val="24"/>
                <w:lang w:val="ro-RO"/>
              </w:rPr>
            </w:pPr>
            <w:r w:rsidRPr="00A7595E">
              <w:rPr>
                <w:rFonts w:ascii="Times New Roman" w:hAnsi="Times New Roman"/>
                <w:sz w:val="24"/>
                <w:szCs w:val="24"/>
                <w:lang w:val="ro-RO"/>
              </w:rPr>
              <w:t>crearea unor mecanisme mai eficiente pentru supravegherea și controlul sănătății publice, inclusiv pentru bolile netransmisibile și transmisibile;</w:t>
            </w:r>
          </w:p>
          <w:p w14:paraId="79DC0ED0" w14:textId="77777777" w:rsidR="00656223" w:rsidRPr="00A7595E" w:rsidRDefault="00656223" w:rsidP="004C3717">
            <w:pPr>
              <w:pStyle w:val="ListParagraph"/>
              <w:numPr>
                <w:ilvl w:val="0"/>
                <w:numId w:val="46"/>
              </w:numPr>
              <w:ind w:left="0" w:firstLine="284"/>
              <w:rPr>
                <w:rFonts w:ascii="Times New Roman" w:hAnsi="Times New Roman"/>
                <w:sz w:val="24"/>
                <w:szCs w:val="24"/>
                <w:lang w:val="ro-RO"/>
              </w:rPr>
            </w:pPr>
            <w:r w:rsidRPr="00A7595E">
              <w:rPr>
                <w:rFonts w:ascii="Times New Roman" w:hAnsi="Times New Roman"/>
                <w:sz w:val="24"/>
                <w:szCs w:val="24"/>
                <w:lang w:val="ro-RO"/>
              </w:rPr>
              <w:t>revizuirea și redistribuirea personalului în cadrul ANSP pentru a optimiza resursele umane și a îmbunătăți performanța.</w:t>
            </w:r>
          </w:p>
          <w:p w14:paraId="63FD8255" w14:textId="77777777" w:rsidR="00656223" w:rsidRDefault="00656223" w:rsidP="00656223">
            <w:pPr>
              <w:rPr>
                <w:rFonts w:ascii="Times New Roman" w:hAnsi="Times New Roman"/>
                <w:sz w:val="24"/>
                <w:szCs w:val="24"/>
                <w:lang w:val="ro-RO"/>
              </w:rPr>
            </w:pPr>
            <w:r w:rsidRPr="00A7595E">
              <w:rPr>
                <w:rFonts w:ascii="Times New Roman" w:hAnsi="Times New Roman"/>
                <w:sz w:val="24"/>
                <w:szCs w:val="24"/>
                <w:lang w:val="ro-RO"/>
              </w:rPr>
              <w:t xml:space="preserve">Totodată, se propun unele soluții pentru a atinge scopul dorit în ajustarea structurilor și funcțiilor ANSP pentru a răspunde cerințelor </w:t>
            </w:r>
            <w:r w:rsidR="00602ACF">
              <w:rPr>
                <w:rFonts w:ascii="Times New Roman" w:hAnsi="Times New Roman"/>
                <w:sz w:val="24"/>
                <w:szCs w:val="24"/>
                <w:lang w:val="ro-RO"/>
              </w:rPr>
              <w:t xml:space="preserve">naționale și </w:t>
            </w:r>
            <w:r w:rsidRPr="00A7595E">
              <w:rPr>
                <w:rFonts w:ascii="Times New Roman" w:hAnsi="Times New Roman"/>
                <w:sz w:val="24"/>
                <w:szCs w:val="24"/>
                <w:lang w:val="ro-RO"/>
              </w:rPr>
              <w:t xml:space="preserve">internaționale, inclusiv în domeniul urgențelor chimice, biologice și </w:t>
            </w:r>
            <w:proofErr w:type="spellStart"/>
            <w:r w:rsidRPr="00A7595E">
              <w:rPr>
                <w:rFonts w:ascii="Times New Roman" w:hAnsi="Times New Roman"/>
                <w:sz w:val="24"/>
                <w:szCs w:val="24"/>
                <w:lang w:val="ro-RO"/>
              </w:rPr>
              <w:t>radionucleare</w:t>
            </w:r>
            <w:proofErr w:type="spellEnd"/>
            <w:r w:rsidRPr="00A7595E">
              <w:rPr>
                <w:rFonts w:ascii="Times New Roman" w:hAnsi="Times New Roman"/>
                <w:sz w:val="24"/>
                <w:szCs w:val="24"/>
                <w:lang w:val="ro-RO"/>
              </w:rPr>
              <w:t xml:space="preserve"> prin crearea de noi direcții și secții pentru a aborda specific domeniile de competență ale ANSP și respectiv crearea unui serviciu specializat pentru monitorizarea integrității și controlului intern, în vederea asigurării unui comportament etic și responsabil al angajaților.</w:t>
            </w:r>
          </w:p>
          <w:p w14:paraId="0F7DD54B" w14:textId="77777777" w:rsidR="001B0744" w:rsidRPr="00A7595E" w:rsidRDefault="001B0744" w:rsidP="001B0744">
            <w:pPr>
              <w:ind w:firstLine="381"/>
              <w:rPr>
                <w:rFonts w:ascii="Times New Roman" w:hAnsi="Times New Roman"/>
                <w:sz w:val="24"/>
                <w:szCs w:val="24"/>
                <w:lang w:val="ro-RO"/>
              </w:rPr>
            </w:pPr>
            <w:r w:rsidRPr="00A7595E">
              <w:rPr>
                <w:rFonts w:ascii="Times New Roman" w:hAnsi="Times New Roman"/>
                <w:sz w:val="24"/>
                <w:szCs w:val="24"/>
                <w:lang w:val="ro-RO"/>
              </w:rPr>
              <w:t>Drept argumente care justifică creșterea numărului de personal de conducere în urma modificărilor structurii organizatorice sunt:</w:t>
            </w:r>
          </w:p>
          <w:p w14:paraId="696C4CA0" w14:textId="77777777" w:rsidR="001B0744" w:rsidRPr="00A7595E" w:rsidRDefault="001B0744" w:rsidP="001B0744">
            <w:pPr>
              <w:ind w:firstLine="381"/>
              <w:rPr>
                <w:rFonts w:ascii="Times New Roman" w:hAnsi="Times New Roman"/>
                <w:sz w:val="24"/>
                <w:szCs w:val="24"/>
                <w:lang w:val="ro-RO"/>
              </w:rPr>
            </w:pPr>
            <w:r w:rsidRPr="00A7595E">
              <w:rPr>
                <w:rFonts w:ascii="Times New Roman" w:hAnsi="Times New Roman"/>
                <w:sz w:val="24"/>
                <w:szCs w:val="24"/>
                <w:lang w:val="ro-RO"/>
              </w:rPr>
              <w:lastRenderedPageBreak/>
              <w:t>-</w:t>
            </w:r>
            <w:r w:rsidRPr="00A7595E">
              <w:rPr>
                <w:rFonts w:ascii="Times New Roman" w:hAnsi="Times New Roman"/>
                <w:sz w:val="24"/>
                <w:szCs w:val="24"/>
                <w:lang w:val="ro-RO"/>
              </w:rPr>
              <w:tab/>
            </w:r>
            <w:r w:rsidRPr="00A7595E">
              <w:rPr>
                <w:rFonts w:ascii="Times New Roman" w:hAnsi="Times New Roman"/>
                <w:b/>
                <w:bCs/>
                <w:sz w:val="24"/>
                <w:szCs w:val="24"/>
                <w:lang w:val="ro-RO"/>
              </w:rPr>
              <w:t>Asigurarea unui management eficient al activităților și responsabilităților subdiviziunilor:</w:t>
            </w:r>
            <w:r w:rsidRPr="00A7595E">
              <w:rPr>
                <w:rFonts w:ascii="Times New Roman" w:hAnsi="Times New Roman"/>
                <w:sz w:val="24"/>
                <w:szCs w:val="24"/>
                <w:lang w:val="ro-RO"/>
              </w:rPr>
              <w:t xml:space="preserve"> Este crucial să avem un management eficient al activităților și responsabilităților pentru a asigura o coordonare corespunzătoare și pentru a optimiza procesele în cadrul ANSP, în special în domeniul serviciului de diagnostic medical și gestionare a urgențelor în Sănătatea Publică.</w:t>
            </w:r>
          </w:p>
          <w:p w14:paraId="7AC480AB" w14:textId="77777777" w:rsidR="001B0744" w:rsidRPr="00A7595E" w:rsidRDefault="001B0744" w:rsidP="001B0744">
            <w:pPr>
              <w:ind w:firstLine="381"/>
              <w:rPr>
                <w:rFonts w:ascii="Times New Roman" w:hAnsi="Times New Roman"/>
                <w:sz w:val="24"/>
                <w:szCs w:val="24"/>
                <w:lang w:val="ro-RO"/>
              </w:rPr>
            </w:pPr>
            <w:r w:rsidRPr="00A7595E">
              <w:rPr>
                <w:rFonts w:ascii="Times New Roman" w:hAnsi="Times New Roman"/>
                <w:sz w:val="24"/>
                <w:szCs w:val="24"/>
                <w:lang w:val="ro-RO"/>
              </w:rPr>
              <w:t>-</w:t>
            </w:r>
            <w:r w:rsidRPr="00A7595E">
              <w:rPr>
                <w:rFonts w:ascii="Times New Roman" w:hAnsi="Times New Roman"/>
                <w:sz w:val="24"/>
                <w:szCs w:val="24"/>
                <w:lang w:val="ro-RO"/>
              </w:rPr>
              <w:tab/>
            </w:r>
            <w:r w:rsidRPr="00A7595E">
              <w:rPr>
                <w:rFonts w:ascii="Times New Roman" w:hAnsi="Times New Roman"/>
                <w:b/>
                <w:bCs/>
                <w:sz w:val="24"/>
                <w:szCs w:val="24"/>
                <w:lang w:val="ro-RO"/>
              </w:rPr>
              <w:t>Creșterea calității proceselor și procedurilor implementate, inclusiv de comunicare internă și externă:</w:t>
            </w:r>
            <w:r w:rsidRPr="00A7595E">
              <w:rPr>
                <w:rFonts w:ascii="Times New Roman" w:hAnsi="Times New Roman"/>
                <w:sz w:val="24"/>
                <w:szCs w:val="24"/>
                <w:lang w:val="ro-RO"/>
              </w:rPr>
              <w:t xml:space="preserve"> O revizuire a structurii organizatorice a ANSP, cu instituirea unor subdiviziuni interne noi, va facilita schimbul de informații și va accelera luarea deciziilor, sporind astfel eficiența activităților și consolidând relațiile între departamentele instituției.</w:t>
            </w:r>
          </w:p>
          <w:p w14:paraId="5F892B90" w14:textId="77777777" w:rsidR="001B0744" w:rsidRPr="00A7595E" w:rsidRDefault="001B0744" w:rsidP="001B0744">
            <w:pPr>
              <w:ind w:firstLine="381"/>
              <w:rPr>
                <w:rFonts w:ascii="Times New Roman" w:hAnsi="Times New Roman"/>
                <w:sz w:val="24"/>
                <w:szCs w:val="24"/>
                <w:lang w:val="ro-RO"/>
              </w:rPr>
            </w:pPr>
            <w:r w:rsidRPr="00A7595E">
              <w:rPr>
                <w:rFonts w:ascii="Times New Roman" w:hAnsi="Times New Roman"/>
                <w:sz w:val="24"/>
                <w:szCs w:val="24"/>
                <w:lang w:val="ro-RO"/>
              </w:rPr>
              <w:t>-</w:t>
            </w:r>
            <w:r w:rsidRPr="00A7595E">
              <w:rPr>
                <w:rFonts w:ascii="Times New Roman" w:hAnsi="Times New Roman"/>
                <w:sz w:val="24"/>
                <w:szCs w:val="24"/>
                <w:lang w:val="ro-RO"/>
              </w:rPr>
              <w:tab/>
            </w:r>
            <w:r w:rsidRPr="00A7595E">
              <w:rPr>
                <w:rFonts w:ascii="Times New Roman" w:hAnsi="Times New Roman"/>
                <w:b/>
                <w:bCs/>
                <w:sz w:val="24"/>
                <w:szCs w:val="24"/>
                <w:lang w:val="ro-RO"/>
              </w:rPr>
              <w:t>Adaptarea la schimbările din mediul extern:</w:t>
            </w:r>
            <w:r w:rsidRPr="00A7595E">
              <w:rPr>
                <w:rFonts w:ascii="Times New Roman" w:hAnsi="Times New Roman"/>
                <w:sz w:val="24"/>
                <w:szCs w:val="24"/>
                <w:lang w:val="ro-RO"/>
              </w:rPr>
              <w:t xml:space="preserve"> În contextul schimbărilor continue din domeniul sănătății publice, modificările propuse în structura organizațională a ANSP vor permite instituției să se adapteze rapid și eficient la evoluțiile tehnologice, legislative și cerințele beneficiarilor.</w:t>
            </w:r>
          </w:p>
          <w:p w14:paraId="7E7690B2" w14:textId="6F8E2082" w:rsidR="001B0744" w:rsidRPr="00A7595E" w:rsidRDefault="001B0744" w:rsidP="001B0744">
            <w:pPr>
              <w:ind w:firstLine="381"/>
              <w:rPr>
                <w:rFonts w:ascii="Times New Roman" w:hAnsi="Times New Roman"/>
                <w:sz w:val="24"/>
                <w:szCs w:val="24"/>
                <w:lang w:val="ro-RO"/>
              </w:rPr>
            </w:pPr>
            <w:r w:rsidRPr="00A7595E">
              <w:rPr>
                <w:rFonts w:ascii="Times New Roman" w:hAnsi="Times New Roman"/>
                <w:sz w:val="24"/>
                <w:szCs w:val="24"/>
                <w:lang w:val="ro-RO"/>
              </w:rPr>
              <w:t>-</w:t>
            </w:r>
            <w:r w:rsidRPr="00A7595E">
              <w:rPr>
                <w:rFonts w:ascii="Times New Roman" w:hAnsi="Times New Roman"/>
                <w:sz w:val="24"/>
                <w:szCs w:val="24"/>
                <w:lang w:val="ro-RO"/>
              </w:rPr>
              <w:tab/>
            </w:r>
            <w:r w:rsidRPr="00A7595E">
              <w:rPr>
                <w:rFonts w:ascii="Times New Roman" w:hAnsi="Times New Roman"/>
                <w:b/>
                <w:bCs/>
                <w:sz w:val="24"/>
                <w:szCs w:val="24"/>
                <w:lang w:val="ro-RO"/>
              </w:rPr>
              <w:t>Repartizarea eficientă a resurselor umane:</w:t>
            </w:r>
            <w:r w:rsidRPr="00A7595E">
              <w:rPr>
                <w:rFonts w:ascii="Times New Roman" w:hAnsi="Times New Roman"/>
                <w:sz w:val="24"/>
                <w:szCs w:val="24"/>
                <w:lang w:val="ro-RO"/>
              </w:rPr>
              <w:t xml:space="preserve"> Modificările propuse vizează o repartizare mai eficientă a resurselor umane, maximizând astfel eficiența operațională și gestionând corespunzător activitățile specifice fiecărei subdiviziuni.</w:t>
            </w:r>
          </w:p>
        </w:tc>
      </w:tr>
      <w:tr w:rsidR="00B159B4" w:rsidRPr="0036045D" w14:paraId="0D8B1A3F"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CB24196" w14:textId="77777777" w:rsidR="00B159B4" w:rsidRPr="00A7595E" w:rsidRDefault="00000000">
            <w:pPr>
              <w:rPr>
                <w:rFonts w:ascii="Times New Roman" w:hAnsi="Times New Roman"/>
                <w:sz w:val="24"/>
                <w:szCs w:val="24"/>
                <w:lang w:val="ro-RO"/>
              </w:rPr>
            </w:pPr>
            <w:r w:rsidRPr="00A7595E">
              <w:rPr>
                <w:rFonts w:ascii="Times New Roman" w:hAnsi="Times New Roman"/>
                <w:sz w:val="24"/>
                <w:szCs w:val="24"/>
                <w:lang w:val="ro-RO"/>
              </w:rPr>
              <w:lastRenderedPageBreak/>
              <w:t>3.1. Principalele prevederi ale proiectului și evidențierea elementelor noi</w:t>
            </w:r>
          </w:p>
        </w:tc>
      </w:tr>
      <w:tr w:rsidR="00121568" w:rsidRPr="0036045D" w14:paraId="78260B61"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609BAA" w14:textId="15B094C7" w:rsidR="00224805" w:rsidRPr="00A7595E" w:rsidRDefault="00224805" w:rsidP="00224805">
            <w:pPr>
              <w:ind w:firstLine="0"/>
              <w:rPr>
                <w:rFonts w:ascii="Times New Roman" w:hAnsi="Times New Roman"/>
                <w:sz w:val="24"/>
                <w:szCs w:val="24"/>
                <w:lang w:val="ro-RO"/>
              </w:rPr>
            </w:pPr>
            <w:r w:rsidRPr="00A7595E">
              <w:rPr>
                <w:rFonts w:ascii="Times New Roman" w:hAnsi="Times New Roman"/>
                <w:sz w:val="24"/>
                <w:szCs w:val="24"/>
                <w:lang w:val="ro-RO"/>
              </w:rPr>
              <w:t>Proiectul hotărârii de Guvern prevede excluderea unor domenii de activitate, revederea funcțiilor și a structurii Agenției, prin fortificarea activităților pe toate domeniile de competență (supravegherii de stat, prevenirii bolilor, promovării și protecției sănătății publice;</w:t>
            </w:r>
            <w:r w:rsidRPr="00A7595E">
              <w:rPr>
                <w:rFonts w:ascii="Times New Roman" w:hAnsi="Times New Roman"/>
                <w:color w:val="333333"/>
                <w:sz w:val="24"/>
                <w:szCs w:val="24"/>
                <w:shd w:val="clear" w:color="auto" w:fill="FFFFFF"/>
                <w:lang w:val="ro-RO"/>
              </w:rPr>
              <w:t xml:space="preserve"> controlului de stat în sănătate; monitorizării și evaluării stării de sănătate a populației</w:t>
            </w:r>
            <w:r w:rsidRPr="00A7595E">
              <w:rPr>
                <w:rFonts w:ascii="Times New Roman" w:hAnsi="Times New Roman"/>
                <w:sz w:val="24"/>
                <w:szCs w:val="24"/>
                <w:lang w:val="ro-RO"/>
              </w:rPr>
              <w:t>).</w:t>
            </w:r>
            <w:r w:rsidR="00602ACF">
              <w:rPr>
                <w:rFonts w:ascii="Times New Roman" w:hAnsi="Times New Roman"/>
                <w:sz w:val="24"/>
                <w:szCs w:val="24"/>
                <w:lang w:val="ro-RO"/>
              </w:rPr>
              <w:t xml:space="preserve"> </w:t>
            </w:r>
            <w:r w:rsidRPr="00A7595E">
              <w:rPr>
                <w:rFonts w:ascii="Times New Roman" w:hAnsi="Times New Roman"/>
                <w:sz w:val="24"/>
                <w:szCs w:val="24"/>
                <w:lang w:val="ro-RO"/>
              </w:rPr>
              <w:t xml:space="preserve">Totodată revizuirea unităților de personal și redistribuirea în cadrul subdiviziunilor structurale ale autorității permite transformarea structurii ANSP, inclusiv crearea unor subdiviziuni noi, implicate direct în realizarea măsurilor de supraveghere de stat, prevenirea bolilor, promovării și protecției sănătății publice; monitorizării și evaluării stării de sănătate a populației, precum și realizarea controlului de stat în sănătate. </w:t>
            </w:r>
          </w:p>
          <w:p w14:paraId="53409D93" w14:textId="77777777" w:rsidR="00224805" w:rsidRPr="00A7595E" w:rsidRDefault="00224805" w:rsidP="00224805">
            <w:pPr>
              <w:ind w:firstLine="0"/>
              <w:rPr>
                <w:rFonts w:ascii="Times New Roman" w:hAnsi="Times New Roman"/>
                <w:sz w:val="24"/>
                <w:szCs w:val="24"/>
                <w:lang w:val="ro-RO"/>
              </w:rPr>
            </w:pPr>
            <w:r w:rsidRPr="00A7595E">
              <w:rPr>
                <w:rFonts w:ascii="Times New Roman" w:hAnsi="Times New Roman"/>
                <w:sz w:val="24"/>
                <w:szCs w:val="24"/>
                <w:lang w:val="ro-RO"/>
              </w:rPr>
              <w:t>În partea ce vizează structura Agenției, evidențiem modificările efectuate și elementele noi:</w:t>
            </w:r>
          </w:p>
          <w:p w14:paraId="70EA01EB"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sz w:val="24"/>
                <w:szCs w:val="24"/>
                <w:lang w:val="ro-RO"/>
              </w:rPr>
              <w:t>Direcția planificare strategică, control managerial, monitorizare programe și activități</w:t>
            </w:r>
            <w:r w:rsidRPr="00A7595E">
              <w:rPr>
                <w:rFonts w:ascii="Times New Roman" w:hAnsi="Times New Roman"/>
                <w:sz w:val="24"/>
                <w:szCs w:val="24"/>
                <w:lang w:val="ro-RO"/>
              </w:rPr>
              <w:t>. Dat fiind faptul structurii și atribuțiilor foarte complexe ale Agenției, prezența subdiviziunilor  teritoriale direcția propusă va fi responsabilă de: coordonarea planurilor de acțiuni a subdiviziunilor teritoriale și a ANSP la general, monitorizarea executării deciziilor (ordinelor, dispozițiilor, indicațiilor din cadrul ședințelor operative etc.) de către structurile ANSP, pregătirea rapoartelor trimestriale, semestriale, anuale de către ANSP si subdiviziunile teritoriale, monitorizarea activităților pe domeniile de competență etc.</w:t>
            </w:r>
          </w:p>
          <w:p w14:paraId="5C587554"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sz w:val="24"/>
                <w:szCs w:val="24"/>
                <w:lang w:val="ro-RO"/>
              </w:rPr>
              <w:t>Direcția management al urgențelor în sănătate publică</w:t>
            </w:r>
            <w:r w:rsidRPr="00A7595E">
              <w:rPr>
                <w:rFonts w:ascii="Times New Roman" w:hAnsi="Times New Roman"/>
                <w:sz w:val="24"/>
                <w:szCs w:val="24"/>
                <w:lang w:val="ro-RO"/>
              </w:rPr>
              <w:t xml:space="preserve"> va suferi  schimbări: în primul rând, în cadrul direcției se formează 1 subdiviziune: </w:t>
            </w:r>
          </w:p>
          <w:p w14:paraId="4899F327"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 xml:space="preserve">Serviciul sănătate publică Aeroportul Internațional Chișinău. </w:t>
            </w:r>
          </w:p>
          <w:p w14:paraId="5511FEA0" w14:textId="77777777" w:rsidR="00224805" w:rsidRPr="00A7595E" w:rsidRDefault="00224805" w:rsidP="00224805">
            <w:pPr>
              <w:tabs>
                <w:tab w:val="left" w:pos="884"/>
                <w:tab w:val="left" w:pos="1196"/>
              </w:tabs>
              <w:ind w:left="314" w:firstLine="0"/>
              <w:rPr>
                <w:rFonts w:ascii="Times New Roman" w:hAnsi="Times New Roman"/>
                <w:sz w:val="24"/>
                <w:szCs w:val="24"/>
                <w:lang w:val="ro-RO"/>
              </w:rPr>
            </w:pPr>
            <w:r w:rsidRPr="00A7595E">
              <w:rPr>
                <w:rFonts w:ascii="Times New Roman" w:hAnsi="Times New Roman"/>
                <w:sz w:val="24"/>
                <w:szCs w:val="24"/>
                <w:lang w:val="ro-RO"/>
              </w:rPr>
              <w:t xml:space="preserve">Instituirea serviciului de sănătate publică Aeroportul Internațional Chișinău (AIC) este o necesitate, stipulată în Programul național de facilitare a transporturilor aeriene, aprobat prin Hotărârea Guvernului nr. 147/2022. Astfel, Ministerul Sănătății și ANSP sunt responsabile de un șir de activități în cadrul AIC, care implică activitatea de 24/24 (Procesul Verbal al Ședinței Comitetului Național de Facilități Aeronautice din 28.07.2023). </w:t>
            </w:r>
          </w:p>
          <w:p w14:paraId="2E6229B3"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sz w:val="24"/>
                <w:szCs w:val="24"/>
                <w:lang w:val="ro-RO"/>
              </w:rPr>
              <w:t xml:space="preserve">Toate secțiile din cadrul </w:t>
            </w:r>
            <w:r w:rsidRPr="00A7595E">
              <w:rPr>
                <w:rFonts w:ascii="Times New Roman" w:hAnsi="Times New Roman"/>
                <w:b/>
                <w:sz w:val="24"/>
                <w:szCs w:val="24"/>
                <w:lang w:val="ro-RO"/>
              </w:rPr>
              <w:t>Direcției prevenire și control a bolilor transmisibile</w:t>
            </w:r>
            <w:r w:rsidRPr="00A7595E">
              <w:rPr>
                <w:rFonts w:ascii="Times New Roman" w:hAnsi="Times New Roman"/>
                <w:sz w:val="24"/>
                <w:szCs w:val="24"/>
                <w:lang w:val="ro-RO"/>
              </w:rPr>
              <w:t xml:space="preserve"> devin Direcții. Modificarea este dictată de faptul, că fiecare din aceste subdiviziuni este responsabilă la nivel național de un domeniu de competență, colaborare intersectorială directă, coordonare la nivel de sistem de sănătate pe domenii, necesitatea de coordonare pe verticală a activităților cu CSP teritoriale. Astfel, la ziua de azi, din poziția de „Secție” </w:t>
            </w:r>
            <w:r w:rsidRPr="00A7595E">
              <w:rPr>
                <w:rFonts w:ascii="Times New Roman" w:hAnsi="Times New Roman"/>
                <w:sz w:val="24"/>
                <w:szCs w:val="24"/>
                <w:lang w:val="ro-RO"/>
              </w:rPr>
              <w:lastRenderedPageBreak/>
              <w:t>se discută cu „Direcții” sau „Direcții generale” din alte instituții, cu organismele internaționale etc. Suplimentar, pe verticală subdiviziunile teritoriale au un statut mai mare decât cele din ANSP, cărora se supun.</w:t>
            </w:r>
          </w:p>
          <w:p w14:paraId="06E68F3F"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bCs/>
                <w:sz w:val="24"/>
                <w:szCs w:val="24"/>
                <w:lang w:val="ro-RO"/>
              </w:rPr>
              <w:t>Direcția prevenirea și controlul bolilor netransmisibile</w:t>
            </w:r>
            <w:r w:rsidRPr="00A7595E">
              <w:rPr>
                <w:rFonts w:ascii="Times New Roman" w:hAnsi="Times New Roman"/>
                <w:bCs/>
                <w:sz w:val="24"/>
                <w:szCs w:val="24"/>
                <w:lang w:val="ro-RO"/>
              </w:rPr>
              <w:t xml:space="preserve"> suferă o modificare, și anume se formează în cadrul direcției 3 secții:</w:t>
            </w:r>
          </w:p>
          <w:p w14:paraId="561227D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evaluarea sănătății și supravegherea bolilor netransmisibile</w:t>
            </w:r>
          </w:p>
          <w:p w14:paraId="118F8002"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sănătatea nutrițională</w:t>
            </w:r>
          </w:p>
          <w:p w14:paraId="492E8DD7"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controlul tutunului si alcoolului</w:t>
            </w:r>
          </w:p>
          <w:p w14:paraId="1A044507"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sz w:val="24"/>
                <w:szCs w:val="24"/>
                <w:lang w:val="ro-RO"/>
              </w:rPr>
              <w:t>Secția evaluarea sănătății și supravegherea</w:t>
            </w:r>
            <w:r w:rsidRPr="00A7595E">
              <w:rPr>
                <w:rFonts w:ascii="Times New Roman" w:hAnsi="Times New Roman"/>
                <w:sz w:val="24"/>
                <w:szCs w:val="24"/>
                <w:lang w:val="ro-RO"/>
              </w:rPr>
              <w:t xml:space="preserve"> </w:t>
            </w:r>
            <w:r w:rsidRPr="00A7595E">
              <w:rPr>
                <w:rFonts w:ascii="Times New Roman" w:hAnsi="Times New Roman"/>
                <w:bCs/>
                <w:sz w:val="24"/>
                <w:szCs w:val="24"/>
                <w:lang w:val="ro-RO"/>
              </w:rPr>
              <w:t>bolilor netransmisibile (BNT) va avea în responsabilitate monitorizarea și evaluarea implementării politicilor în domeniul prevenirii și controlului BNT - Strategia Națională de sănătate „Sănătatea 2030”, Programul național privind prevenirea și controlul BNT prioritare pentru a.2023-2027 (</w:t>
            </w:r>
            <w:r w:rsidRPr="00A7595E">
              <w:rPr>
                <w:rFonts w:ascii="Times New Roman" w:hAnsi="Times New Roman"/>
                <w:sz w:val="24"/>
                <w:szCs w:val="24"/>
                <w:lang w:val="ro-RO"/>
              </w:rPr>
              <w:t>Hotărârea Guvernului nr.</w:t>
            </w:r>
            <w:r w:rsidRPr="00A7595E">
              <w:rPr>
                <w:rFonts w:ascii="Times New Roman" w:hAnsi="Times New Roman"/>
                <w:bCs/>
                <w:sz w:val="24"/>
                <w:szCs w:val="24"/>
                <w:lang w:val="ro-RO"/>
              </w:rPr>
              <w:t>129/2023), stabilirea și monitorizarea realizării țintelor naționale pentru reducerea poverii BNT și a factorilor de risc. Elaborarea de documente directive (ordine, dispoziții) și instructiv-metodice (recomandări, instrucțiuni, ghiduri) în domeniul prevenirii BNT. Un alt aspect important ține de evaluarea situației privind BNT la nivel național și teritorial, dezvoltarea profilurilor de sănătate teritoriale și determinarea direcțiilor principale de acțiuni în domeniul prevenirii și controlului bolilor netransmisibile și a factorilor de risc, raportarea, formarea și gestionarea bazelor de date electronice în domeniul controlului BNT și a factorilor de risc.</w:t>
            </w:r>
          </w:p>
          <w:p w14:paraId="30D8E1CE"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sz w:val="24"/>
                <w:szCs w:val="24"/>
                <w:lang w:val="ro-RO"/>
              </w:rPr>
              <w:t xml:space="preserve">Secția sănătatea nutrițională este necesară pentru asigurarea și revigorarea activităților pe implementare în domeniul alimentației și nutriției ca aparte a activităților de prevenire BNT, cât și a elaborării Programelor naționale în domeniu pentru anii următori, cu evaluarea nutriției la toate etapele vieții. Concomitent sunt urgent necesare acțiuni de evaluare și modificare a cadrului normativ și reformulare a produselor alimentare pentru reducerea conținutului de sare, grăsimi-trans și zahăr. Este necesară instituirea și gestionarea unui sistem național de supraveghere nutrițională, pentru evaluarea alimentației, statutului nutrițional al populației, a aportului de macro- și </w:t>
            </w:r>
            <w:proofErr w:type="spellStart"/>
            <w:r w:rsidRPr="00A7595E">
              <w:rPr>
                <w:rFonts w:ascii="Times New Roman" w:hAnsi="Times New Roman"/>
                <w:bCs/>
                <w:sz w:val="24"/>
                <w:szCs w:val="24"/>
                <w:lang w:val="ro-RO"/>
              </w:rPr>
              <w:t>micronutrimente</w:t>
            </w:r>
            <w:proofErr w:type="spellEnd"/>
            <w:r w:rsidRPr="00A7595E">
              <w:rPr>
                <w:rFonts w:ascii="Times New Roman" w:hAnsi="Times New Roman"/>
                <w:bCs/>
                <w:sz w:val="24"/>
                <w:szCs w:val="24"/>
                <w:lang w:val="ro-RO"/>
              </w:rPr>
              <w:t xml:space="preserve">. Secția controlul tutunului si alcoolului este dictată de necesitatea asigurării implementării Convenției Cadru a OMS privind controlul tutunului, Legii 278/2007 privind controlul tutunului, Hotărârea Guvernului nr. 1065/2016 pentru aprobarea unor Regulamente sanitare privind produsele din tutun,  care stabilesc multiple sarcini pentru ANSP. Elaborarea programelor naționale în domeniul controlului tutunului și a consumului de alcool, de asemenea transpunerea la nivel național a directivelor și deciziilor UE.  Republica Moldova ca Parte la Convenția Cadru a OMS și la Protocolul privind eliminarea comerțului ilicit cu produse din tutun are multiple obligații. Concomitent este un volum substanțial de activitate în monitorizarea consumului de tutun și de alcool, evaluarea situației și raportarea anuala la OMS Regional pentru Europa și Cartierul General. Un alt aspect ține de elaborarea recomandărilor și ghidurilor pentru autorități, cadre medicale, populație, agenți economici. </w:t>
            </w:r>
          </w:p>
          <w:p w14:paraId="0B5B6186"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bCs/>
                <w:sz w:val="24"/>
                <w:szCs w:val="24"/>
                <w:lang w:val="ro-RO"/>
              </w:rPr>
              <w:t xml:space="preserve">Direcția supravegherea sănătății în relație cu mediul </w:t>
            </w:r>
            <w:r w:rsidRPr="00A7595E">
              <w:rPr>
                <w:rFonts w:ascii="Times New Roman" w:hAnsi="Times New Roman"/>
                <w:bCs/>
                <w:sz w:val="24"/>
                <w:szCs w:val="24"/>
                <w:lang w:val="ro-RO"/>
              </w:rPr>
              <w:t>se reorganizează din Direcția protecția sănătății publice, având în vedere că factorii de mediu au o pondere semnificativă  în activitatea Direcției. Direcția include în componența sa 4 secții:</w:t>
            </w:r>
          </w:p>
          <w:p w14:paraId="4BB9024F"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evaluarea riscurilor de mediu</w:t>
            </w:r>
          </w:p>
          <w:p w14:paraId="139A661F"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sănătatea ocupațională și siguranța chimică</w:t>
            </w:r>
          </w:p>
          <w:p w14:paraId="254C6970"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igiena radiațiilor</w:t>
            </w:r>
          </w:p>
          <w:p w14:paraId="7F75ADAC"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sănătatea copiilor și adolescenților</w:t>
            </w:r>
          </w:p>
          <w:p w14:paraId="6094A455"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sz w:val="24"/>
                <w:szCs w:val="24"/>
                <w:lang w:val="ro-RO"/>
              </w:rPr>
              <w:t xml:space="preserve">Primele 3 secții actualmente există în cadrul Direcției protecția sănătății, cu păstrarea domeniilor de activitate, doar se modifică denumirile. Secția sănătatea copiilor și </w:t>
            </w:r>
            <w:r w:rsidRPr="00A7595E">
              <w:rPr>
                <w:rFonts w:ascii="Times New Roman" w:hAnsi="Times New Roman"/>
                <w:bCs/>
                <w:sz w:val="24"/>
                <w:szCs w:val="24"/>
                <w:lang w:val="ro-RO"/>
              </w:rPr>
              <w:lastRenderedPageBreak/>
              <w:t>adolescenților s-a format prin divizarea secției sănătatea nutrițională și a copiilor în 2 secții (sănătatea nutrițională și sănătatea copiilor), având în vedere specificul și domeniile de competență. De menționat faptul, că până în a. 2018 la instituirea ANSP, permanent aceste secții au existat separat.</w:t>
            </w:r>
          </w:p>
          <w:p w14:paraId="41712CAB"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sz w:val="24"/>
                <w:szCs w:val="24"/>
                <w:lang w:val="ro-RO"/>
              </w:rPr>
              <w:t>În rezultatul reformei ANSP din 2018, Direcția diagnostic de laborator se confruntă cu mai multe probleme pentru a asigura activitatea de rutină a laboratoarelor. Au fost comasate câte 2-3 laboratoare, care au puține activități în comun, într-un singur laborator. Aceste reorganizări nu au adus o plus valoare și nu a contribuit la economisirea resurselor. Dimpotrivă, au apărut divergențe în activitate, a scăzut calitatea serviciilor. Totodată, suplimentar la activitățile de bază sau suprapus mai multe atribuții legate de proceduri de achiziții (recepționarea, analiza și generalizarea comenzilor parvenite din CSP teritoriale, elaborarea pachetului de documente pentru licitații publice, evaluarea, primirea si distribuirea bunurilor necesare pentru activitatea de laborator).  Laboratoare din cadrul ANSP sunt de importanță națională, cu responsabilități atât la nivel de țară, cât și de raportare și implicare internațională, respectiv, structura laboratoarelor trebuie să fie ajustată modelelor existente din spațiul european și cerințelor OMS. Suplimentar, se creează Depozitul național de laborator pentru depozitarea și repartizarea centralizată către CSP teritoriale, dar și a Instituțiilor Medico-Sanitare a consumabilelor de laborator, testelor, echipamentelor de protecție. Actualmente, aceste bunuri sunt păstrate în condiții precare în garaje, subsoluri, săli de ședințe etc. În acest context, se propune ca optimală următoarea structură a domeniului de laborator, cu subdiviziuni cu statut de Direcție:</w:t>
            </w:r>
          </w:p>
          <w:p w14:paraId="2DCB632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Laboratorul național infecții respiratorii și enterice virale (cu statut de direcție) </w:t>
            </w:r>
          </w:p>
          <w:p w14:paraId="6EA7B07F"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Laboratorul național infecții respiratorii, enterice bacteriene și parazitoze (cu statut de direcție)</w:t>
            </w:r>
          </w:p>
          <w:p w14:paraId="322AF67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Laboratorul național infecții </w:t>
            </w:r>
            <w:proofErr w:type="spellStart"/>
            <w:r w:rsidRPr="00A7595E">
              <w:rPr>
                <w:rFonts w:ascii="Times New Roman" w:hAnsi="Times New Roman"/>
                <w:sz w:val="24"/>
                <w:szCs w:val="24"/>
                <w:lang w:val="ro-RO"/>
              </w:rPr>
              <w:t>imunodirijabile</w:t>
            </w:r>
            <w:proofErr w:type="spellEnd"/>
            <w:r w:rsidRPr="00A7595E">
              <w:rPr>
                <w:rFonts w:ascii="Times New Roman" w:hAnsi="Times New Roman"/>
                <w:sz w:val="24"/>
                <w:szCs w:val="24"/>
                <w:lang w:val="ro-RO"/>
              </w:rPr>
              <w:t xml:space="preserve"> și hepatite virale (cu statut de direcție)</w:t>
            </w:r>
          </w:p>
          <w:p w14:paraId="353E16A9"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Laboratorul național infecții asociate asistenței medicale și rezistenței </w:t>
            </w:r>
            <w:proofErr w:type="spellStart"/>
            <w:r w:rsidRPr="00A7595E">
              <w:rPr>
                <w:rFonts w:ascii="Times New Roman" w:hAnsi="Times New Roman"/>
                <w:sz w:val="24"/>
                <w:szCs w:val="24"/>
                <w:lang w:val="ro-RO"/>
              </w:rPr>
              <w:t>antimicrobiene</w:t>
            </w:r>
            <w:proofErr w:type="spellEnd"/>
            <w:r w:rsidRPr="00A7595E">
              <w:rPr>
                <w:rFonts w:ascii="Times New Roman" w:hAnsi="Times New Roman"/>
                <w:sz w:val="24"/>
                <w:szCs w:val="24"/>
                <w:lang w:val="ro-RO"/>
              </w:rPr>
              <w:t xml:space="preserve"> (cu statul de direcție)</w:t>
            </w:r>
          </w:p>
          <w:p w14:paraId="29F82CA9"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Laboratorul național infecții cu risc sporit (cu statul de direcție)</w:t>
            </w:r>
          </w:p>
          <w:p w14:paraId="30D60C03"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Laboratorul național microbiologie sanitară (cu statut de direcție) </w:t>
            </w:r>
          </w:p>
          <w:p w14:paraId="1E97A6E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Laboratorul național de încercări chimice (cu statut de direcție) </w:t>
            </w:r>
          </w:p>
          <w:p w14:paraId="3AEAE7A0"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Laboratorul național factori fizici, radiologici și măsurări instrumentale (cu statut de direcție) </w:t>
            </w:r>
          </w:p>
          <w:p w14:paraId="60C4BAB1"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Laboratorul național toxicologie experimentală cu vivariu (cu statut de direcție) </w:t>
            </w:r>
          </w:p>
          <w:p w14:paraId="763B02C5"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Secția managementul calității serviciilor de laborator</w:t>
            </w:r>
          </w:p>
          <w:p w14:paraId="50E6440A"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Depozitul național de laborator (cu statut de serviciu)</w:t>
            </w:r>
          </w:p>
          <w:p w14:paraId="2CCD12DE"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Cs/>
                <w:sz w:val="24"/>
                <w:szCs w:val="24"/>
                <w:lang w:val="ro-RO"/>
              </w:rPr>
              <w:t xml:space="preserve">Anumite modificări au fost efectuate și în </w:t>
            </w:r>
            <w:r w:rsidRPr="00A7595E">
              <w:rPr>
                <w:rFonts w:ascii="Times New Roman" w:hAnsi="Times New Roman"/>
                <w:b/>
                <w:bCs/>
                <w:sz w:val="24"/>
                <w:szCs w:val="24"/>
                <w:lang w:val="ro-RO"/>
              </w:rPr>
              <w:t>Direcția control de stat în sănătate publică</w:t>
            </w:r>
            <w:r w:rsidRPr="00A7595E">
              <w:rPr>
                <w:rFonts w:ascii="Times New Roman" w:hAnsi="Times New Roman"/>
                <w:bCs/>
                <w:sz w:val="24"/>
                <w:szCs w:val="24"/>
                <w:lang w:val="ro-RO"/>
              </w:rPr>
              <w:t xml:space="preserve">. Astfel urmare a modificărilor operate la Legea nr.1456/1993 cu privire la activitatea farmaceutică, Legea nr. 382/1999 cu privire la circulația substanțelor stupefiante, psihotrope și a precursorilor, Legea nr.102/2017 cu privire la dispozitivele medicale și transmiterea domeniilor de competență în efectuarea controlului circulației medicamentelor, produselor </w:t>
            </w:r>
            <w:proofErr w:type="spellStart"/>
            <w:r w:rsidRPr="00A7595E">
              <w:rPr>
                <w:rFonts w:ascii="Times New Roman" w:hAnsi="Times New Roman"/>
                <w:bCs/>
                <w:sz w:val="24"/>
                <w:szCs w:val="24"/>
                <w:lang w:val="ro-RO"/>
              </w:rPr>
              <w:t>parafarmaceutice</w:t>
            </w:r>
            <w:proofErr w:type="spellEnd"/>
            <w:r w:rsidRPr="00A7595E">
              <w:rPr>
                <w:rFonts w:ascii="Times New Roman" w:hAnsi="Times New Roman"/>
                <w:bCs/>
                <w:sz w:val="24"/>
                <w:szCs w:val="24"/>
                <w:lang w:val="ro-RO"/>
              </w:rPr>
              <w:t xml:space="preserve">, al dispozitivelor medicale, circulației legale a substanțelor stupefiante, psihotrope și precursorilor Agenției Medicamentului și Dispozitivelor Medicale, din componența Direcției control de stat în sănătate au fost excluse Secția managementul și metodologia controlului în domeniul activității farmaceutice și dispozitivelor medicale și Serviciul managementul și metodologia controlului circulației substanțelor narcotice, psihotrope și precursorilor. La fel urmare a modificărilor aduse la Legea nr.42/2008 privind transplantul de organe, țesuturi și celule umane și transmiterea competenților în domeniul controlului calității transplantului Agenției de Transplant, din componența Direcției a fost exclus și Serviciul managementul </w:t>
            </w:r>
            <w:r w:rsidRPr="00A7595E">
              <w:rPr>
                <w:rFonts w:ascii="Times New Roman" w:hAnsi="Times New Roman"/>
                <w:bCs/>
                <w:sz w:val="24"/>
                <w:szCs w:val="24"/>
                <w:lang w:val="ro-RO"/>
              </w:rPr>
              <w:lastRenderedPageBreak/>
              <w:t xml:space="preserve">și metodologia transplantului. Iar în scopul optimizării activității de planificare în domeniul controlului de stat realizat de către ANSP, secția managementul și metodologia controlului instituțiilor medico-sanitare  a fost comasată cu secția managementul și metodologia controlului în sănătate publică. În același timp în scopul asigurării supravegherii pieței și conformității produselor conform categoriilor de produse atribuite în domeniul de competență ANSP prin Legea nr.162/2023 privind supravegherea pieței și conformitatea produselor, precum și în scopul asigurării supravegherii și controlului </w:t>
            </w:r>
            <w:proofErr w:type="spellStart"/>
            <w:r w:rsidRPr="00A7595E">
              <w:rPr>
                <w:rFonts w:ascii="Times New Roman" w:hAnsi="Times New Roman"/>
                <w:bCs/>
                <w:sz w:val="24"/>
                <w:szCs w:val="24"/>
                <w:lang w:val="ro-RO"/>
              </w:rPr>
              <w:t>sanitaro</w:t>
            </w:r>
            <w:proofErr w:type="spellEnd"/>
            <w:r w:rsidRPr="00A7595E">
              <w:rPr>
                <w:rFonts w:ascii="Times New Roman" w:hAnsi="Times New Roman"/>
                <w:bCs/>
                <w:sz w:val="24"/>
                <w:szCs w:val="24"/>
                <w:lang w:val="ro-RO"/>
              </w:rPr>
              <w:t>-epidemiologic în cadrul vizitelor oficiale a delegațiilor străine, la solicitarea instituțiilor statului, în structura Direcției se propune crearea Secției control de stat în sănătate publică, care ar asigura organizarea, realizarea și monitorizarea controalelor în domeniile expuse supra. Structura Direcției este următoarea:</w:t>
            </w:r>
          </w:p>
          <w:p w14:paraId="5259A351"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sz w:val="24"/>
                <w:szCs w:val="24"/>
                <w:lang w:val="ro-RO"/>
              </w:rPr>
              <w:t xml:space="preserve">Direcția control de stat în sănătate (Inspectorat) </w:t>
            </w:r>
          </w:p>
          <w:p w14:paraId="53DB3E01"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 xml:space="preserve">Secția managementul și metodologia controlului în sănătate publică </w:t>
            </w:r>
          </w:p>
          <w:p w14:paraId="1CE69591"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control de stat în sănătate publică</w:t>
            </w:r>
          </w:p>
          <w:p w14:paraId="5504900D"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Secția protecția consumatorului</w:t>
            </w:r>
          </w:p>
          <w:p w14:paraId="5E2BDD15" w14:textId="557F8AFA" w:rsidR="006E2872" w:rsidRPr="006E2872" w:rsidRDefault="00224805" w:rsidP="006E2872">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Cs/>
                <w:sz w:val="24"/>
                <w:szCs w:val="24"/>
                <w:lang w:val="ro-RO"/>
              </w:rPr>
              <w:t xml:space="preserve">Secția Expertiză sanitară devine </w:t>
            </w:r>
            <w:r w:rsidRPr="00A7595E">
              <w:rPr>
                <w:rFonts w:ascii="Times New Roman" w:hAnsi="Times New Roman"/>
                <w:b/>
                <w:bCs/>
                <w:sz w:val="24"/>
                <w:szCs w:val="24"/>
                <w:lang w:val="ro-RO"/>
              </w:rPr>
              <w:t>Direcția expertiză și autorizare sanitară</w:t>
            </w:r>
            <w:r w:rsidRPr="00A7595E">
              <w:rPr>
                <w:rFonts w:ascii="Times New Roman" w:hAnsi="Times New Roman"/>
                <w:bCs/>
                <w:sz w:val="24"/>
                <w:szCs w:val="24"/>
                <w:lang w:val="ro-RO"/>
              </w:rPr>
              <w:t xml:space="preserve">. </w:t>
            </w:r>
            <w:r w:rsidR="00A7595E" w:rsidRPr="00A7595E">
              <w:rPr>
                <w:rFonts w:ascii="Times New Roman" w:hAnsi="Times New Roman"/>
                <w:bCs/>
                <w:sz w:val="24"/>
                <w:szCs w:val="24"/>
                <w:lang w:val="ro-RO"/>
              </w:rPr>
              <w:t xml:space="preserve">Expertiză sanitară </w:t>
            </w:r>
            <w:r w:rsidR="00A7595E">
              <w:rPr>
                <w:rFonts w:ascii="Times New Roman" w:hAnsi="Times New Roman"/>
                <w:bCs/>
                <w:sz w:val="24"/>
                <w:szCs w:val="24"/>
                <w:lang w:val="ro-RO"/>
              </w:rPr>
              <w:t xml:space="preserve">este </w:t>
            </w:r>
            <w:r w:rsidR="00105465">
              <w:rPr>
                <w:rFonts w:ascii="Times New Roman" w:hAnsi="Times New Roman"/>
                <w:bCs/>
                <w:sz w:val="24"/>
                <w:szCs w:val="24"/>
                <w:lang w:val="ro-RO"/>
              </w:rPr>
              <w:t xml:space="preserve">de asemenea </w:t>
            </w:r>
            <w:r w:rsidR="00A7595E">
              <w:rPr>
                <w:rFonts w:ascii="Times New Roman" w:hAnsi="Times New Roman"/>
                <w:bCs/>
                <w:sz w:val="24"/>
                <w:szCs w:val="24"/>
                <w:lang w:val="ro-RO"/>
              </w:rPr>
              <w:t xml:space="preserve">un proces de curând </w:t>
            </w:r>
            <w:r w:rsidR="00105465">
              <w:rPr>
                <w:rFonts w:ascii="Times New Roman" w:hAnsi="Times New Roman"/>
                <w:bCs/>
                <w:sz w:val="24"/>
                <w:szCs w:val="24"/>
                <w:lang w:val="ro-RO"/>
              </w:rPr>
              <w:t xml:space="preserve">reorganizat în cadrul ANSP și care este executat </w:t>
            </w:r>
            <w:r w:rsidR="006E2872">
              <w:rPr>
                <w:rFonts w:ascii="Times New Roman" w:hAnsi="Times New Roman"/>
                <w:bCs/>
                <w:sz w:val="24"/>
                <w:szCs w:val="24"/>
                <w:lang w:val="ro-RO"/>
              </w:rPr>
              <w:t xml:space="preserve">de ANSP </w:t>
            </w:r>
            <w:r w:rsidR="00105465">
              <w:rPr>
                <w:rFonts w:ascii="Times New Roman" w:hAnsi="Times New Roman"/>
                <w:bCs/>
                <w:sz w:val="24"/>
                <w:szCs w:val="24"/>
                <w:lang w:val="ro-RO"/>
              </w:rPr>
              <w:t>prin</w:t>
            </w:r>
            <w:r w:rsidRPr="00A7595E">
              <w:rPr>
                <w:rFonts w:ascii="Times New Roman" w:hAnsi="Times New Roman"/>
                <w:bCs/>
                <w:sz w:val="24"/>
                <w:szCs w:val="24"/>
                <w:lang w:val="ro-RO"/>
              </w:rPr>
              <w:t xml:space="preserve"> organizarea și prestarea serviciilor de sănătate publică persoanelor fizice și juridice</w:t>
            </w:r>
            <w:r w:rsidR="00620F05">
              <w:rPr>
                <w:rFonts w:ascii="Times New Roman" w:hAnsi="Times New Roman"/>
                <w:bCs/>
                <w:sz w:val="24"/>
                <w:szCs w:val="24"/>
                <w:lang w:val="ro-RO"/>
              </w:rPr>
              <w:t>.</w:t>
            </w:r>
            <w:r w:rsidRPr="00A7595E">
              <w:rPr>
                <w:rFonts w:ascii="Times New Roman" w:hAnsi="Times New Roman"/>
                <w:bCs/>
                <w:sz w:val="24"/>
                <w:szCs w:val="24"/>
                <w:lang w:val="ro-RO"/>
              </w:rPr>
              <w:t xml:space="preserve"> </w:t>
            </w:r>
            <w:r w:rsidR="006E2872">
              <w:rPr>
                <w:rFonts w:ascii="Times New Roman" w:hAnsi="Times New Roman"/>
                <w:bCs/>
                <w:sz w:val="24"/>
                <w:szCs w:val="24"/>
                <w:lang w:val="ro-RO"/>
              </w:rPr>
              <w:t>P</w:t>
            </w:r>
            <w:r w:rsidRPr="00A7595E">
              <w:rPr>
                <w:rFonts w:ascii="Times New Roman" w:hAnsi="Times New Roman"/>
                <w:bCs/>
                <w:sz w:val="24"/>
                <w:szCs w:val="24"/>
                <w:lang w:val="ro-RO"/>
              </w:rPr>
              <w:t xml:space="preserve">recum și asigurarea avizării sanitare, înregistrării de stat și notificării produselor și materialelor cu impact asupra sănătății stabilite prin Legea nr.10/2009 privind supravegherea de stat a sănătății publice. </w:t>
            </w:r>
            <w:r w:rsidR="00105465" w:rsidRPr="006E2872">
              <w:rPr>
                <w:rFonts w:ascii="Times New Roman" w:hAnsi="Times New Roman"/>
                <w:bCs/>
                <w:sz w:val="24"/>
                <w:szCs w:val="24"/>
                <w:lang w:val="ro-RO"/>
              </w:rPr>
              <w:t xml:space="preserve">Astfel pentru a cuprinde tot volumul de proceduri în care </w:t>
            </w:r>
            <w:r w:rsidR="00620F05" w:rsidRPr="006E2872">
              <w:rPr>
                <w:rFonts w:ascii="Times New Roman" w:hAnsi="Times New Roman"/>
                <w:bCs/>
                <w:sz w:val="24"/>
                <w:szCs w:val="24"/>
                <w:lang w:val="ro-RO"/>
              </w:rPr>
              <w:t>statul are rol de control și emitere de acte permisive, precum și proceduri de</w:t>
            </w:r>
            <w:r w:rsidRPr="006E2872">
              <w:rPr>
                <w:rFonts w:ascii="Times New Roman" w:hAnsi="Times New Roman"/>
                <w:bCs/>
                <w:sz w:val="24"/>
                <w:szCs w:val="24"/>
                <w:lang w:val="ro-RO"/>
              </w:rPr>
              <w:t xml:space="preserve"> înregistrare și notificare</w:t>
            </w:r>
            <w:r w:rsidR="00620F05" w:rsidRPr="006E2872">
              <w:rPr>
                <w:rFonts w:ascii="Times New Roman" w:hAnsi="Times New Roman"/>
                <w:bCs/>
                <w:sz w:val="24"/>
                <w:szCs w:val="24"/>
                <w:lang w:val="ro-RO"/>
              </w:rPr>
              <w:t xml:space="preserve"> a</w:t>
            </w:r>
            <w:r w:rsidRPr="006E2872">
              <w:rPr>
                <w:rFonts w:ascii="Times New Roman" w:hAnsi="Times New Roman"/>
                <w:bCs/>
                <w:sz w:val="24"/>
                <w:szCs w:val="24"/>
                <w:lang w:val="ro-RO"/>
              </w:rPr>
              <w:t xml:space="preserve"> produselor </w:t>
            </w:r>
            <w:proofErr w:type="spellStart"/>
            <w:r w:rsidRPr="006E2872">
              <w:rPr>
                <w:rFonts w:ascii="Times New Roman" w:hAnsi="Times New Roman"/>
                <w:bCs/>
                <w:sz w:val="24"/>
                <w:szCs w:val="24"/>
                <w:lang w:val="ro-RO"/>
              </w:rPr>
              <w:t>biocide</w:t>
            </w:r>
            <w:proofErr w:type="spellEnd"/>
            <w:r w:rsidRPr="006E2872">
              <w:rPr>
                <w:rFonts w:ascii="Times New Roman" w:hAnsi="Times New Roman"/>
                <w:bCs/>
                <w:sz w:val="24"/>
                <w:szCs w:val="24"/>
                <w:lang w:val="ro-RO"/>
              </w:rPr>
              <w:t xml:space="preserve">, suplimentelor alimentare, produselor cosmetice, produselor din tutun și produselor conexe </w:t>
            </w:r>
            <w:r w:rsidR="00620F05" w:rsidRPr="006E2872">
              <w:rPr>
                <w:rFonts w:ascii="Times New Roman" w:hAnsi="Times New Roman"/>
                <w:bCs/>
                <w:sz w:val="24"/>
                <w:szCs w:val="24"/>
                <w:lang w:val="ro-RO"/>
              </w:rPr>
              <w:t>cu</w:t>
            </w:r>
            <w:r w:rsidR="006E2872">
              <w:rPr>
                <w:rFonts w:ascii="Times New Roman" w:hAnsi="Times New Roman"/>
                <w:bCs/>
                <w:sz w:val="24"/>
                <w:szCs w:val="24"/>
                <w:lang w:val="ro-RO"/>
              </w:rPr>
              <w:t xml:space="preserve"> gestionarea a</w:t>
            </w:r>
            <w:r w:rsidR="00620F05" w:rsidRPr="006E2872">
              <w:rPr>
                <w:rFonts w:ascii="Times New Roman" w:hAnsi="Times New Roman"/>
                <w:bCs/>
                <w:sz w:val="24"/>
                <w:szCs w:val="24"/>
                <w:lang w:val="ro-RO"/>
              </w:rPr>
              <w:t xml:space="preserve"> un</w:t>
            </w:r>
            <w:r w:rsidR="006E2872">
              <w:rPr>
                <w:rFonts w:ascii="Times New Roman" w:hAnsi="Times New Roman"/>
                <w:bCs/>
                <w:sz w:val="24"/>
                <w:szCs w:val="24"/>
                <w:lang w:val="ro-RO"/>
              </w:rPr>
              <w:t>ui</w:t>
            </w:r>
            <w:r w:rsidR="00620F05" w:rsidRPr="006E2872">
              <w:rPr>
                <w:rFonts w:ascii="Times New Roman" w:hAnsi="Times New Roman"/>
                <w:bCs/>
                <w:sz w:val="24"/>
                <w:szCs w:val="24"/>
                <w:lang w:val="ro-RO"/>
              </w:rPr>
              <w:t xml:space="preserve"> </w:t>
            </w:r>
            <w:r w:rsidRPr="006E2872">
              <w:rPr>
                <w:rFonts w:ascii="Times New Roman" w:hAnsi="Times New Roman"/>
                <w:bCs/>
                <w:sz w:val="24"/>
                <w:szCs w:val="24"/>
                <w:lang w:val="ro-RO"/>
              </w:rPr>
              <w:t xml:space="preserve">Ghișeul unic </w:t>
            </w:r>
            <w:r w:rsidR="00620F05" w:rsidRPr="006E2872">
              <w:rPr>
                <w:rFonts w:ascii="Times New Roman" w:hAnsi="Times New Roman"/>
                <w:bCs/>
                <w:sz w:val="24"/>
                <w:szCs w:val="24"/>
                <w:lang w:val="ro-RO"/>
              </w:rPr>
              <w:t xml:space="preserve">și a sistemelor electronice SIA GEAP, </w:t>
            </w:r>
            <w:proofErr w:type="spellStart"/>
            <w:r w:rsidR="00620F05" w:rsidRPr="006E2872">
              <w:rPr>
                <w:rFonts w:ascii="Times New Roman" w:hAnsi="Times New Roman"/>
                <w:bCs/>
                <w:sz w:val="24"/>
                <w:szCs w:val="24"/>
                <w:lang w:val="ro-RO"/>
              </w:rPr>
              <w:t>Silver</w:t>
            </w:r>
            <w:proofErr w:type="spellEnd"/>
            <w:r w:rsidR="00620F05" w:rsidRPr="006E2872">
              <w:rPr>
                <w:rFonts w:ascii="Times New Roman" w:hAnsi="Times New Roman"/>
                <w:bCs/>
                <w:sz w:val="24"/>
                <w:szCs w:val="24"/>
                <w:lang w:val="ro-RO"/>
              </w:rPr>
              <w:t xml:space="preserve"> </w:t>
            </w:r>
            <w:proofErr w:type="spellStart"/>
            <w:r w:rsidR="00620F05" w:rsidRPr="006E2872">
              <w:rPr>
                <w:rFonts w:ascii="Times New Roman" w:hAnsi="Times New Roman"/>
                <w:bCs/>
                <w:sz w:val="24"/>
                <w:szCs w:val="24"/>
                <w:lang w:val="ro-RO"/>
              </w:rPr>
              <w:t>lab</w:t>
            </w:r>
            <w:proofErr w:type="spellEnd"/>
            <w:r w:rsidR="00620F05" w:rsidRPr="006E2872">
              <w:rPr>
                <w:rFonts w:ascii="Times New Roman" w:hAnsi="Times New Roman"/>
                <w:bCs/>
                <w:sz w:val="24"/>
                <w:szCs w:val="24"/>
                <w:lang w:val="ro-RO"/>
              </w:rPr>
              <w:t>, Lis</w:t>
            </w:r>
            <w:r w:rsidR="006E2872">
              <w:rPr>
                <w:rFonts w:ascii="Times New Roman" w:hAnsi="Times New Roman"/>
                <w:bCs/>
                <w:sz w:val="24"/>
                <w:szCs w:val="24"/>
                <w:lang w:val="ro-RO"/>
              </w:rPr>
              <w:t>,</w:t>
            </w:r>
            <w:r w:rsidR="00620F05" w:rsidRPr="006E2872">
              <w:rPr>
                <w:rFonts w:ascii="Times New Roman" w:hAnsi="Times New Roman"/>
                <w:bCs/>
                <w:sz w:val="24"/>
                <w:szCs w:val="24"/>
                <w:lang w:val="ro-RO"/>
              </w:rPr>
              <w:t xml:space="preserve"> c</w:t>
            </w:r>
            <w:r w:rsidRPr="006E2872">
              <w:rPr>
                <w:rFonts w:ascii="Times New Roman" w:hAnsi="Times New Roman"/>
                <w:bCs/>
                <w:sz w:val="24"/>
                <w:szCs w:val="24"/>
                <w:lang w:val="ro-RO"/>
              </w:rPr>
              <w:t>e primi</w:t>
            </w:r>
            <w:r w:rsidR="00620F05" w:rsidRPr="006E2872">
              <w:rPr>
                <w:rFonts w:ascii="Times New Roman" w:hAnsi="Times New Roman"/>
                <w:bCs/>
                <w:sz w:val="24"/>
                <w:szCs w:val="24"/>
                <w:lang w:val="ro-RO"/>
              </w:rPr>
              <w:t>t</w:t>
            </w:r>
            <w:r w:rsidRPr="006E2872">
              <w:rPr>
                <w:rFonts w:ascii="Times New Roman" w:hAnsi="Times New Roman"/>
                <w:bCs/>
                <w:sz w:val="24"/>
                <w:szCs w:val="24"/>
                <w:lang w:val="ro-RO"/>
              </w:rPr>
              <w:t xml:space="preserve"> și procesarea cererilor pentru serviciile publice</w:t>
            </w:r>
            <w:r w:rsidR="006E2872">
              <w:rPr>
                <w:rFonts w:ascii="Times New Roman" w:hAnsi="Times New Roman"/>
                <w:bCs/>
                <w:sz w:val="24"/>
                <w:szCs w:val="24"/>
                <w:lang w:val="ro-RO"/>
              </w:rPr>
              <w:t>,</w:t>
            </w:r>
            <w:r w:rsidRPr="006E2872">
              <w:rPr>
                <w:rFonts w:ascii="Times New Roman" w:hAnsi="Times New Roman"/>
                <w:bCs/>
                <w:sz w:val="24"/>
                <w:szCs w:val="24"/>
                <w:lang w:val="ro-RO"/>
              </w:rPr>
              <w:t xml:space="preserve"> </w:t>
            </w:r>
            <w:r w:rsidR="006E2872">
              <w:rPr>
                <w:rFonts w:ascii="Times New Roman" w:hAnsi="Times New Roman"/>
                <w:bCs/>
                <w:sz w:val="24"/>
                <w:szCs w:val="24"/>
                <w:lang w:val="ro-RO"/>
              </w:rPr>
              <w:t>a</w:t>
            </w:r>
            <w:r w:rsidR="00620F05" w:rsidRPr="006E2872">
              <w:rPr>
                <w:rFonts w:ascii="Times New Roman" w:hAnsi="Times New Roman"/>
                <w:bCs/>
                <w:sz w:val="24"/>
                <w:szCs w:val="24"/>
                <w:lang w:val="ro-RO"/>
              </w:rPr>
              <w:t xml:space="preserve">cest serviciu este </w:t>
            </w:r>
            <w:r w:rsidR="006E2872">
              <w:rPr>
                <w:rFonts w:ascii="Times New Roman" w:hAnsi="Times New Roman"/>
                <w:bCs/>
                <w:sz w:val="24"/>
                <w:szCs w:val="24"/>
                <w:lang w:val="ro-RO"/>
              </w:rPr>
              <w:t>necesar</w:t>
            </w:r>
            <w:r w:rsidR="00620F05" w:rsidRPr="006E2872">
              <w:rPr>
                <w:rFonts w:ascii="Times New Roman" w:hAnsi="Times New Roman"/>
                <w:bCs/>
                <w:sz w:val="24"/>
                <w:szCs w:val="24"/>
                <w:lang w:val="ro-RO"/>
              </w:rPr>
              <w:t xml:space="preserve"> să devină o piesă importantă </w:t>
            </w:r>
            <w:r w:rsidR="006E2872">
              <w:rPr>
                <w:rFonts w:ascii="Times New Roman" w:hAnsi="Times New Roman"/>
                <w:bCs/>
                <w:sz w:val="24"/>
                <w:szCs w:val="24"/>
                <w:lang w:val="ro-RO"/>
              </w:rPr>
              <w:t>în domeniul</w:t>
            </w:r>
            <w:r w:rsidRPr="006E2872">
              <w:rPr>
                <w:rFonts w:ascii="Times New Roman" w:hAnsi="Times New Roman"/>
                <w:bCs/>
                <w:sz w:val="24"/>
                <w:szCs w:val="24"/>
                <w:lang w:val="ro-RO"/>
              </w:rPr>
              <w:t xml:space="preserve"> sănătății</w:t>
            </w:r>
            <w:r w:rsidR="006E2872">
              <w:rPr>
                <w:rFonts w:ascii="Times New Roman" w:hAnsi="Times New Roman"/>
                <w:bCs/>
                <w:sz w:val="24"/>
                <w:szCs w:val="24"/>
                <w:lang w:val="ro-RO"/>
              </w:rPr>
              <w:t xml:space="preserve"> publice</w:t>
            </w:r>
            <w:r w:rsidR="00620F05" w:rsidRPr="006E2872">
              <w:rPr>
                <w:rFonts w:ascii="Times New Roman" w:hAnsi="Times New Roman"/>
                <w:bCs/>
                <w:sz w:val="24"/>
                <w:szCs w:val="24"/>
                <w:lang w:val="ro-RO"/>
              </w:rPr>
              <w:t>.</w:t>
            </w:r>
            <w:r w:rsidRPr="006E2872">
              <w:rPr>
                <w:rFonts w:ascii="Times New Roman" w:hAnsi="Times New Roman"/>
                <w:bCs/>
                <w:sz w:val="24"/>
                <w:szCs w:val="24"/>
                <w:lang w:val="ro-RO"/>
              </w:rPr>
              <w:t xml:space="preserve"> De asemenea </w:t>
            </w:r>
            <w:r w:rsidR="00620F05" w:rsidRPr="006E2872">
              <w:rPr>
                <w:rFonts w:ascii="Times New Roman" w:hAnsi="Times New Roman"/>
                <w:bCs/>
                <w:sz w:val="24"/>
                <w:szCs w:val="24"/>
                <w:lang w:val="ro-RO"/>
              </w:rPr>
              <w:t xml:space="preserve">se </w:t>
            </w:r>
            <w:r w:rsidRPr="006E2872">
              <w:rPr>
                <w:rFonts w:ascii="Times New Roman" w:hAnsi="Times New Roman"/>
                <w:bCs/>
                <w:sz w:val="24"/>
                <w:szCs w:val="24"/>
                <w:lang w:val="ro-RO"/>
              </w:rPr>
              <w:t xml:space="preserve">vor actualiza permanent Registrele electronice de înregistrare a suplimentelor alimentare și produselor alimentare noi, registrul notificărilor suplimentelor alimentare, produselor cosmetice și produselor din tutun. </w:t>
            </w:r>
          </w:p>
          <w:p w14:paraId="2B171B4A" w14:textId="190B3639" w:rsidR="00224805" w:rsidRPr="006E2872" w:rsidRDefault="00224805" w:rsidP="006E2872">
            <w:pPr>
              <w:tabs>
                <w:tab w:val="left" w:pos="884"/>
                <w:tab w:val="left" w:pos="1196"/>
              </w:tabs>
              <w:spacing w:after="160"/>
              <w:ind w:left="314" w:firstLine="0"/>
              <w:contextualSpacing/>
              <w:rPr>
                <w:rFonts w:ascii="Times New Roman" w:hAnsi="Times New Roman"/>
                <w:sz w:val="24"/>
                <w:szCs w:val="24"/>
                <w:lang w:val="ro-RO"/>
              </w:rPr>
            </w:pPr>
            <w:r w:rsidRPr="006E2872">
              <w:rPr>
                <w:rFonts w:ascii="Times New Roman" w:hAnsi="Times New Roman"/>
                <w:bCs/>
                <w:sz w:val="24"/>
                <w:szCs w:val="24"/>
                <w:lang w:val="ro-RO"/>
              </w:rPr>
              <w:t>Structura direcției este următoarea:</w:t>
            </w:r>
          </w:p>
          <w:p w14:paraId="307EB42F"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sz w:val="24"/>
                <w:szCs w:val="24"/>
                <w:lang w:val="ro-RO"/>
              </w:rPr>
              <w:t>Direcția expertiză și autorizare sanitară</w:t>
            </w:r>
          </w:p>
          <w:p w14:paraId="07D341CC"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 xml:space="preserve">Secretariatul pentru înregistrarea produselor </w:t>
            </w:r>
            <w:proofErr w:type="spellStart"/>
            <w:r w:rsidRPr="00A7595E">
              <w:rPr>
                <w:rFonts w:ascii="Times New Roman" w:hAnsi="Times New Roman"/>
                <w:bCs/>
                <w:i/>
                <w:sz w:val="24"/>
                <w:szCs w:val="24"/>
                <w:lang w:val="ro-RO"/>
              </w:rPr>
              <w:t>biocide</w:t>
            </w:r>
            <w:proofErr w:type="spellEnd"/>
            <w:r w:rsidRPr="00A7595E">
              <w:rPr>
                <w:rFonts w:ascii="Times New Roman" w:hAnsi="Times New Roman"/>
                <w:bCs/>
                <w:i/>
                <w:sz w:val="24"/>
                <w:szCs w:val="24"/>
                <w:lang w:val="ro-RO"/>
              </w:rPr>
              <w:t xml:space="preserve"> (cu statut de serviciu)</w:t>
            </w:r>
          </w:p>
          <w:p w14:paraId="4E8FF6F7"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Secretariatul pentru înregistrarea suplimentelor alimentare (cu statut de serviciu)</w:t>
            </w:r>
          </w:p>
          <w:p w14:paraId="040242FE"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Serviciul expertiză și autorizare sanitară a produselor din tutun și produselor conexe</w:t>
            </w:r>
          </w:p>
          <w:p w14:paraId="65D0B4E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Serviciul expertiză și autorizare sanitară a produselor cosmetice</w:t>
            </w:r>
          </w:p>
          <w:p w14:paraId="12B90FAF"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i/>
                <w:sz w:val="24"/>
                <w:szCs w:val="24"/>
                <w:lang w:val="ro-RO"/>
              </w:rPr>
              <w:t>Ghișeul unic (cu statut de serviciu)</w:t>
            </w:r>
          </w:p>
          <w:p w14:paraId="609B7986"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sz w:val="24"/>
                <w:szCs w:val="24"/>
                <w:lang w:val="ro-RO"/>
              </w:rPr>
              <w:t xml:space="preserve">Direcția analiză, planificare și integrare a serviciilor și resurselor în sănătate și Direcția management date în sănătate se reorganizează prin crearea </w:t>
            </w:r>
            <w:r w:rsidRPr="00A7595E">
              <w:rPr>
                <w:rFonts w:ascii="Times New Roman" w:hAnsi="Times New Roman"/>
                <w:b/>
                <w:sz w:val="24"/>
                <w:szCs w:val="24"/>
                <w:lang w:val="ro-RO"/>
              </w:rPr>
              <w:t>Direcției le analiză și evaluare a datelor și resurselor în sănătate</w:t>
            </w:r>
            <w:r w:rsidRPr="00A7595E">
              <w:rPr>
                <w:rFonts w:ascii="Times New Roman" w:hAnsi="Times New Roman"/>
                <w:sz w:val="24"/>
                <w:szCs w:val="24"/>
                <w:lang w:val="ro-RO"/>
              </w:rPr>
              <w:t xml:space="preserve">. ANSP este unica instituție din sistemul sănătății responsabilă de colectarea, procesarea, analiza și diseminarea datelor statistice în sănătate, de analiza proceselor demografice. De asemenea, ANSP este responsabilă de analiza datelor privitor la resursele sistemului de sănătate (umane, non-financiare și a conturilor în sănătate). În această ordine de idei, conform practicilor internaționale, se propune de a organiza aceste activități sub o direcție generală, care să conțină Direcția date statistice în sănătate (se va ocupa de colectarea, digitalizarea datelor, procesele demografice și documentarea medicală), Direcția indicatori statistici în sănătate (analiza, monitorizarea, evaluarea și diseminarea datelor în sănătate, de asemenea și conturilor naționale în sănătate), Direcția analiză si planificare a resurselor umane din sănătate </w:t>
            </w:r>
            <w:r w:rsidRPr="00A7595E">
              <w:rPr>
                <w:rFonts w:ascii="Times New Roman" w:hAnsi="Times New Roman"/>
                <w:sz w:val="24"/>
                <w:szCs w:val="24"/>
                <w:lang w:val="ro-RO"/>
              </w:rPr>
              <w:lastRenderedPageBreak/>
              <w:t>(colectarea, procesarea, analiza și prezentarea datelor privitor la RUS, de asemenea evaluarea necesităților sistemului sănătății în personal, planificarea RUS). Suplimentar, în această direcție rămâne Observatorul RUS a Rețelei de Sănătate a Europei de Sud Est (stabilit prin acord internațional) și se instituie Secția autentificări, autorizări și calificări profesionale. Această secție se instituie pe baza Cabinetului Instructiv Metodic Republican (CIMR), care actualmente este instituție bugetară în subordinea Ministerului Sănătății, cu 4 funcții de state. CIMR nu are structură administrativă și salarizarea lor se face prin intermediul Centrului de Excelență în Medicină și Farmacie „</w:t>
            </w:r>
            <w:proofErr w:type="spellStart"/>
            <w:r w:rsidRPr="00A7595E">
              <w:rPr>
                <w:rFonts w:ascii="Times New Roman" w:hAnsi="Times New Roman"/>
                <w:sz w:val="24"/>
                <w:szCs w:val="24"/>
                <w:lang w:val="ro-RO"/>
              </w:rPr>
              <w:t>Raisa</w:t>
            </w:r>
            <w:proofErr w:type="spellEnd"/>
            <w:r w:rsidRPr="00A7595E">
              <w:rPr>
                <w:rFonts w:ascii="Times New Roman" w:hAnsi="Times New Roman"/>
                <w:sz w:val="24"/>
                <w:szCs w:val="24"/>
                <w:lang w:val="ro-RO"/>
              </w:rPr>
              <w:t xml:space="preserve"> </w:t>
            </w:r>
            <w:proofErr w:type="spellStart"/>
            <w:r w:rsidRPr="00A7595E">
              <w:rPr>
                <w:rFonts w:ascii="Times New Roman" w:hAnsi="Times New Roman"/>
                <w:sz w:val="24"/>
                <w:szCs w:val="24"/>
                <w:lang w:val="ro-RO"/>
              </w:rPr>
              <w:t>Pacalo</w:t>
            </w:r>
            <w:proofErr w:type="spellEnd"/>
            <w:r w:rsidRPr="00A7595E">
              <w:rPr>
                <w:rFonts w:ascii="Times New Roman" w:hAnsi="Times New Roman"/>
                <w:sz w:val="24"/>
                <w:szCs w:val="24"/>
                <w:lang w:val="ro-RO"/>
              </w:rPr>
              <w:t>” (prin transferul mijloacelor financiare de la Minister). Funcțiile acestei subdiviziuni vor consta în monitorizarea activității comisiilor de atestare, monitorizarea categoriilor de atestare și a calificărilor personalului medical și farmaceutic, pregătirea dosarelor  și evidența personalului medical care intenționează să migreze peste hotare. Prin transferul din subordinea Ministerului Sănătății a CIMR în cadrul ANSP se reduce numărul de instituții din subordinea Ministerului, se organizează corect activitățile ce țin de gestionarea resurselor umane din sănătate. Structura subdiviziunii descrise este următoarea:</w:t>
            </w:r>
          </w:p>
          <w:p w14:paraId="4791F86C"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bCs/>
                <w:sz w:val="24"/>
                <w:szCs w:val="24"/>
                <w:lang w:val="ro-RO"/>
              </w:rPr>
              <w:t xml:space="preserve">Direcția generală analiză și evaluare a datelor și resurselor în sănătate </w:t>
            </w:r>
          </w:p>
          <w:p w14:paraId="45F432E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Direcția date statistice în sănătate</w:t>
            </w:r>
          </w:p>
          <w:p w14:paraId="4451C8CB"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colectare și digitalizarea datelor statistice în sănătate</w:t>
            </w:r>
          </w:p>
          <w:p w14:paraId="1090FDC6"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procese demografice</w:t>
            </w:r>
          </w:p>
          <w:p w14:paraId="2564493B"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documentare medicală și evidența statistică în sănătate</w:t>
            </w:r>
          </w:p>
          <w:p w14:paraId="135A2E09"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Direcția indicatori statistici în sănătate</w:t>
            </w:r>
          </w:p>
          <w:p w14:paraId="05A4BB55"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elaborarea, analiza și diseminarea indicatorilor în sănătate</w:t>
            </w:r>
          </w:p>
          <w:p w14:paraId="1BB357DD"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evaluarea și monitorizarea indicatorilor prioritari în sănătate</w:t>
            </w:r>
          </w:p>
          <w:p w14:paraId="4A3E84AA"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conturi naționale în sănătate</w:t>
            </w:r>
          </w:p>
          <w:p w14:paraId="5B743D41"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Observatorul Național de Droguri (cu statut de serviciu)</w:t>
            </w:r>
          </w:p>
          <w:p w14:paraId="155EDC1B"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Direcția analiza și planificare a resurselor umane în sănătate</w:t>
            </w:r>
          </w:p>
          <w:p w14:paraId="732EA417"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date și indicatori în resursele umane în sănătate</w:t>
            </w:r>
          </w:p>
          <w:p w14:paraId="5F59ED9B"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Secția autentificări, autorizări și calificări profesionale</w:t>
            </w:r>
          </w:p>
          <w:p w14:paraId="17FD38D7"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Observatorul resurse umane în sistemul de sănătate al Rețelei de Sănătate a Europei de Sud Est (cu statut de serviciu)</w:t>
            </w:r>
          </w:p>
          <w:p w14:paraId="687A484D"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sz w:val="24"/>
                <w:szCs w:val="24"/>
                <w:lang w:val="ro-RO"/>
              </w:rPr>
              <w:t>Direcția generală finanțe și contabilitate</w:t>
            </w:r>
            <w:r w:rsidRPr="00A7595E">
              <w:rPr>
                <w:rFonts w:ascii="Times New Roman" w:hAnsi="Times New Roman"/>
                <w:sz w:val="24"/>
                <w:szCs w:val="24"/>
                <w:lang w:val="ro-RO"/>
              </w:rPr>
              <w:t xml:space="preserve"> substituie Direcția financiară. Modificarea se propune în legătură cu complexitatea domeniilor de activitate, cât și a funcțiilor de bază ce necesită a fi realizate de subdiviziune. Misiunea subdiviziunii financiare constă în menținerea și consolidarea managementului financiar și bugetar al autorității, contribuind la atingerea obiectivelor acesteia. Funcțiile de bază ale subdiviziunii financiare sunt: elaborarea bugetului; executarea bugetului; evidența contabilă; raportarea financiară și non financiară. Pentru executarea funcțiilor de bază, cât și a altor funcții necesare pentru îndeplinirea misiunii sale, subdiviziunea financiară desfășoară un volum enorm de atribuții. În legătură cu cele prenotate, se propune modificarea Direcției financiare în Direcția generală finanțe și contabilitate.</w:t>
            </w:r>
          </w:p>
          <w:p w14:paraId="363494A7" w14:textId="7175FFD3" w:rsidR="00224805" w:rsidRPr="00E10A44" w:rsidRDefault="00224805" w:rsidP="00E10A44">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sz w:val="24"/>
                <w:szCs w:val="24"/>
                <w:lang w:val="ro-RO"/>
              </w:rPr>
              <w:t>Direcția achiziții publice</w:t>
            </w:r>
            <w:r w:rsidRPr="00A7595E">
              <w:rPr>
                <w:rFonts w:ascii="Times New Roman" w:hAnsi="Times New Roman"/>
                <w:sz w:val="24"/>
                <w:szCs w:val="24"/>
                <w:lang w:val="ro-RO"/>
              </w:rPr>
              <w:t xml:space="preserve"> este structură nouă în cadrul ANSP. În structura precedentă această subdiviziune a fost atribuită Direcției patrimoniu și deservire utilaj medical, </w:t>
            </w:r>
            <w:r w:rsidR="006E2872">
              <w:rPr>
                <w:rFonts w:ascii="Times New Roman" w:hAnsi="Times New Roman"/>
                <w:sz w:val="24"/>
                <w:szCs w:val="24"/>
                <w:lang w:val="ro-RO"/>
              </w:rPr>
              <w:t xml:space="preserve">care efectua </w:t>
            </w:r>
            <w:r w:rsidRPr="00A7595E">
              <w:rPr>
                <w:rFonts w:ascii="Times New Roman" w:hAnsi="Times New Roman"/>
                <w:sz w:val="24"/>
                <w:szCs w:val="24"/>
                <w:lang w:val="ro-RO"/>
              </w:rPr>
              <w:t xml:space="preserve">achiziții </w:t>
            </w:r>
            <w:r w:rsidR="00E10A44">
              <w:rPr>
                <w:rFonts w:ascii="Times New Roman" w:hAnsi="Times New Roman"/>
                <w:sz w:val="24"/>
                <w:szCs w:val="24"/>
                <w:lang w:val="ro-RO"/>
              </w:rPr>
              <w:t>prin</w:t>
            </w:r>
            <w:r w:rsidRPr="00A7595E">
              <w:rPr>
                <w:rFonts w:ascii="Times New Roman" w:hAnsi="Times New Roman"/>
                <w:sz w:val="24"/>
                <w:szCs w:val="24"/>
                <w:lang w:val="ro-RO"/>
              </w:rPr>
              <w:t xml:space="preserve"> o </w:t>
            </w:r>
            <w:r w:rsidR="00620F05">
              <w:rPr>
                <w:rFonts w:ascii="Times New Roman" w:hAnsi="Times New Roman"/>
                <w:sz w:val="24"/>
                <w:szCs w:val="24"/>
                <w:lang w:val="ro-RO"/>
              </w:rPr>
              <w:t xml:space="preserve">singură </w:t>
            </w:r>
            <w:r w:rsidRPr="00A7595E">
              <w:rPr>
                <w:rFonts w:ascii="Times New Roman" w:hAnsi="Times New Roman"/>
                <w:sz w:val="24"/>
                <w:szCs w:val="24"/>
                <w:lang w:val="ro-RO"/>
              </w:rPr>
              <w:t xml:space="preserve">funcție de personal. </w:t>
            </w:r>
            <w:r w:rsidR="00620F05">
              <w:rPr>
                <w:rFonts w:ascii="Times New Roman" w:hAnsi="Times New Roman"/>
                <w:sz w:val="24"/>
                <w:szCs w:val="24"/>
                <w:lang w:val="ro-RO"/>
              </w:rPr>
              <w:t xml:space="preserve">Menționăm că procesul de achiziții publice </w:t>
            </w:r>
            <w:r w:rsidR="002E6323">
              <w:rPr>
                <w:rFonts w:ascii="Times New Roman" w:hAnsi="Times New Roman"/>
                <w:sz w:val="24"/>
                <w:szCs w:val="24"/>
                <w:lang w:val="ro-RO"/>
              </w:rPr>
              <w:t>realizat</w:t>
            </w:r>
            <w:r w:rsidR="00620F05">
              <w:rPr>
                <w:rFonts w:ascii="Times New Roman" w:hAnsi="Times New Roman"/>
                <w:sz w:val="24"/>
                <w:szCs w:val="24"/>
                <w:lang w:val="ro-RO"/>
              </w:rPr>
              <w:t xml:space="preserve"> de către ANSP conține un volum mare de lucru, deoarece sunt procurate toate cele </w:t>
            </w:r>
            <w:r w:rsidR="002E6323">
              <w:rPr>
                <w:rFonts w:ascii="Times New Roman" w:hAnsi="Times New Roman"/>
                <w:sz w:val="24"/>
                <w:szCs w:val="24"/>
                <w:lang w:val="ro-RO"/>
              </w:rPr>
              <w:t xml:space="preserve">necesare dotării tuturor subdiviziunilor din raioane, care includ și consumabile medicale, reactive, echipamente. Aceste procese nu au nici o tangență cu deservirea utilajului medical și nici </w:t>
            </w:r>
            <w:r w:rsidR="00E10A44">
              <w:rPr>
                <w:rFonts w:ascii="Times New Roman" w:hAnsi="Times New Roman"/>
                <w:sz w:val="24"/>
                <w:szCs w:val="24"/>
                <w:lang w:val="ro-RO"/>
              </w:rPr>
              <w:t xml:space="preserve">cu </w:t>
            </w:r>
            <w:r w:rsidR="002E6323">
              <w:rPr>
                <w:rFonts w:ascii="Times New Roman" w:hAnsi="Times New Roman"/>
                <w:sz w:val="24"/>
                <w:szCs w:val="24"/>
                <w:lang w:val="ro-RO"/>
              </w:rPr>
              <w:t>patrimoniu.</w:t>
            </w:r>
            <w:r w:rsidR="00E10A44">
              <w:rPr>
                <w:rFonts w:ascii="Times New Roman" w:hAnsi="Times New Roman"/>
                <w:sz w:val="24"/>
                <w:szCs w:val="24"/>
                <w:lang w:val="ro-RO"/>
              </w:rPr>
              <w:t xml:space="preserve"> </w:t>
            </w:r>
            <w:r w:rsidR="00E10A44" w:rsidRPr="00A7595E">
              <w:rPr>
                <w:rFonts w:ascii="Times New Roman" w:hAnsi="Times New Roman"/>
                <w:bCs/>
                <w:sz w:val="24"/>
                <w:szCs w:val="24"/>
                <w:lang w:val="ro-RO"/>
              </w:rPr>
              <w:t xml:space="preserve">În acest context, se propune înființarea unei </w:t>
            </w:r>
            <w:r w:rsidR="00E10A44">
              <w:rPr>
                <w:rFonts w:ascii="Times New Roman" w:hAnsi="Times New Roman"/>
                <w:bCs/>
                <w:sz w:val="24"/>
                <w:szCs w:val="24"/>
                <w:lang w:val="ro-RO"/>
              </w:rPr>
              <w:t>structuri</w:t>
            </w:r>
            <w:r w:rsidR="00E10A44" w:rsidRPr="00A7595E">
              <w:rPr>
                <w:rFonts w:ascii="Times New Roman" w:hAnsi="Times New Roman"/>
                <w:bCs/>
                <w:sz w:val="24"/>
                <w:szCs w:val="24"/>
                <w:lang w:val="ro-RO"/>
              </w:rPr>
              <w:t xml:space="preserve"> separate pentru gestionarea eficientă a aces</w:t>
            </w:r>
            <w:r w:rsidR="00E10A44">
              <w:rPr>
                <w:rFonts w:ascii="Times New Roman" w:hAnsi="Times New Roman"/>
                <w:bCs/>
                <w:sz w:val="24"/>
                <w:szCs w:val="24"/>
                <w:lang w:val="ro-RO"/>
              </w:rPr>
              <w:t>tui</w:t>
            </w:r>
            <w:r w:rsidR="00E10A44" w:rsidRPr="00A7595E">
              <w:rPr>
                <w:rFonts w:ascii="Times New Roman" w:hAnsi="Times New Roman"/>
                <w:bCs/>
                <w:sz w:val="24"/>
                <w:szCs w:val="24"/>
                <w:lang w:val="ro-RO"/>
              </w:rPr>
              <w:t xml:space="preserve"> </w:t>
            </w:r>
            <w:proofErr w:type="spellStart"/>
            <w:r w:rsidR="00E10A44" w:rsidRPr="00A7595E">
              <w:rPr>
                <w:rFonts w:ascii="Times New Roman" w:hAnsi="Times New Roman"/>
                <w:bCs/>
                <w:sz w:val="24"/>
                <w:szCs w:val="24"/>
                <w:lang w:val="ro-RO"/>
              </w:rPr>
              <w:t>domen</w:t>
            </w:r>
            <w:r w:rsidR="00E10A44">
              <w:rPr>
                <w:rFonts w:ascii="Times New Roman" w:hAnsi="Times New Roman"/>
                <w:bCs/>
                <w:sz w:val="24"/>
                <w:szCs w:val="24"/>
                <w:lang w:val="ro-RO"/>
              </w:rPr>
              <w:t>u</w:t>
            </w:r>
            <w:proofErr w:type="spellEnd"/>
            <w:r w:rsidR="00E10A44" w:rsidRPr="00A7595E">
              <w:rPr>
                <w:rFonts w:ascii="Times New Roman" w:hAnsi="Times New Roman"/>
                <w:bCs/>
                <w:sz w:val="24"/>
                <w:szCs w:val="24"/>
                <w:lang w:val="ro-RO"/>
              </w:rPr>
              <w:t>.</w:t>
            </w:r>
          </w:p>
          <w:p w14:paraId="1A37ACFA"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sz w:val="24"/>
                <w:szCs w:val="24"/>
                <w:lang w:val="ro-RO"/>
              </w:rPr>
              <w:lastRenderedPageBreak/>
              <w:t xml:space="preserve">În </w:t>
            </w:r>
            <w:r w:rsidRPr="00A7595E">
              <w:rPr>
                <w:rFonts w:ascii="Times New Roman" w:hAnsi="Times New Roman"/>
                <w:b/>
                <w:sz w:val="24"/>
                <w:szCs w:val="24"/>
                <w:lang w:val="ro-RO"/>
              </w:rPr>
              <w:t>Direcția patrimoniu, deservire edificii și rețele inginerești</w:t>
            </w:r>
            <w:r w:rsidRPr="00A7595E">
              <w:rPr>
                <w:rFonts w:ascii="Times New Roman" w:hAnsi="Times New Roman"/>
                <w:sz w:val="24"/>
                <w:szCs w:val="24"/>
                <w:lang w:val="ro-RO"/>
              </w:rPr>
              <w:t xml:space="preserve"> au intervenit unele optimizări structurale pentru eficientizarea activităților. Se propune următoarea structură a Direcției: </w:t>
            </w:r>
          </w:p>
          <w:p w14:paraId="64F3B24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Direcția administrare patrimoniu</w:t>
            </w:r>
          </w:p>
          <w:p w14:paraId="740B6E96"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 xml:space="preserve">Secția deservire edificii și rețele inginerești </w:t>
            </w:r>
          </w:p>
          <w:p w14:paraId="759E690D"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Serviciul gospodăresc</w:t>
            </w:r>
          </w:p>
          <w:p w14:paraId="5930FB9A"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Serviciul transport</w:t>
            </w:r>
          </w:p>
          <w:p w14:paraId="473121BB"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Echipa de intervenție (cu statut de serviciu)</w:t>
            </w:r>
          </w:p>
          <w:p w14:paraId="42E7D428"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i/>
                <w:sz w:val="24"/>
                <w:szCs w:val="24"/>
                <w:lang w:val="ro-RO"/>
              </w:rPr>
              <w:t xml:space="preserve">Depozit (cu statut de serviciu) </w:t>
            </w:r>
          </w:p>
          <w:p w14:paraId="52C2D879" w14:textId="77777777" w:rsidR="00224805" w:rsidRPr="00A7595E" w:rsidRDefault="00224805" w:rsidP="00224805">
            <w:pPr>
              <w:tabs>
                <w:tab w:val="left" w:pos="884"/>
                <w:tab w:val="left" w:pos="1196"/>
              </w:tabs>
              <w:ind w:left="314" w:firstLine="0"/>
              <w:contextualSpacing/>
              <w:rPr>
                <w:rFonts w:ascii="Times New Roman" w:hAnsi="Times New Roman"/>
                <w:sz w:val="24"/>
                <w:szCs w:val="24"/>
                <w:lang w:val="ro-RO"/>
              </w:rPr>
            </w:pPr>
            <w:r w:rsidRPr="00A7595E">
              <w:rPr>
                <w:rFonts w:ascii="Times New Roman" w:hAnsi="Times New Roman"/>
                <w:sz w:val="24"/>
                <w:szCs w:val="24"/>
                <w:lang w:val="ro-RO"/>
              </w:rPr>
              <w:t>Astfel, din structura Direcției sunt excluse achizițiile (structură separată), Secția managementul documentelor (structură separată), Serviciul deservire utilaj medical (în deservirea Direcției rămâne doar echipamentul rețelelor inginerești, iar utilajul medical trece în Secția managementul calității serviciilor de laborator. Suplimentar, se instituie o echipă de intervenție pentru soluționare problemelor acute de volume mici, care apar constant în cadrul ANSP. Menționăm, că ANSP are în gestiune 125 de imobile vechi, 34 cazangerii, 56 noduri de distribuție a energiei electrice, 90 km rețele inginerești, 284 frigidere, 284 climatizatoare etc., care au un termen de exploatare depășit, se deteriorează permanent și necesită intervenții rapide (electrician, lăcătuș, tâmplar, mecanic, inginer, zugrav etc.) pentru menținerea activității.</w:t>
            </w:r>
          </w:p>
          <w:p w14:paraId="17F780E9" w14:textId="2E7790E4"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bCs/>
                <w:sz w:val="24"/>
                <w:szCs w:val="24"/>
                <w:lang w:val="ro-RO"/>
              </w:rPr>
              <w:t>Secția</w:t>
            </w:r>
            <w:r w:rsidR="00E10A44">
              <w:rPr>
                <w:rFonts w:ascii="Times New Roman" w:hAnsi="Times New Roman"/>
                <w:b/>
                <w:bCs/>
                <w:sz w:val="24"/>
                <w:szCs w:val="24"/>
                <w:lang w:val="ro-RO"/>
              </w:rPr>
              <w:t xml:space="preserve"> </w:t>
            </w:r>
            <w:r w:rsidRPr="00A7595E">
              <w:rPr>
                <w:rFonts w:ascii="Times New Roman" w:hAnsi="Times New Roman"/>
                <w:b/>
                <w:bCs/>
                <w:sz w:val="24"/>
                <w:szCs w:val="24"/>
                <w:lang w:val="ro-RO"/>
              </w:rPr>
              <w:t>relații internaționale și integrare europeană</w:t>
            </w:r>
            <w:r w:rsidRPr="00A7595E">
              <w:rPr>
                <w:rFonts w:ascii="Times New Roman" w:hAnsi="Times New Roman"/>
                <w:bCs/>
                <w:sz w:val="24"/>
                <w:szCs w:val="24"/>
                <w:lang w:val="ro-RO"/>
              </w:rPr>
              <w:t xml:space="preserve"> </w:t>
            </w:r>
            <w:r w:rsidR="002E6323" w:rsidRPr="002E6323">
              <w:rPr>
                <w:rFonts w:ascii="Times New Roman" w:hAnsi="Times New Roman"/>
                <w:b/>
                <w:sz w:val="24"/>
                <w:szCs w:val="24"/>
                <w:lang w:val="ro-RO"/>
              </w:rPr>
              <w:t>și protocol</w:t>
            </w:r>
            <w:r w:rsidR="002E6323">
              <w:rPr>
                <w:rFonts w:ascii="Times New Roman" w:hAnsi="Times New Roman"/>
                <w:bCs/>
                <w:sz w:val="24"/>
                <w:szCs w:val="24"/>
                <w:lang w:val="ro-RO"/>
              </w:rPr>
              <w:t xml:space="preserve"> </w:t>
            </w:r>
            <w:r w:rsidRPr="00A7595E">
              <w:rPr>
                <w:rFonts w:ascii="Times New Roman" w:hAnsi="Times New Roman"/>
                <w:bCs/>
                <w:sz w:val="24"/>
                <w:szCs w:val="24"/>
                <w:lang w:val="ro-RO"/>
              </w:rPr>
              <w:t>este structură nouă în cadrul Agenției. În procesul de aderare a Republicii Moldova la UE, țara și-a asumat angajamente stipulate în Acordul de Asociere și, mai recent, cele care derivă din calitatea de membru, inclusiv de adoptare a normelor, standardelor și politicilor comune care constituie legislația UE. Armonizarea legislației naționale cu reglementările comunitare aferente domeniului de sănătate publică (în mare parte Capitolul 28 din acquis-</w:t>
            </w:r>
            <w:proofErr w:type="spellStart"/>
            <w:r w:rsidRPr="00A7595E">
              <w:rPr>
                <w:rFonts w:ascii="Times New Roman" w:hAnsi="Times New Roman"/>
                <w:bCs/>
                <w:sz w:val="24"/>
                <w:szCs w:val="24"/>
                <w:lang w:val="ro-RO"/>
              </w:rPr>
              <w:t>ul</w:t>
            </w:r>
            <w:proofErr w:type="spellEnd"/>
            <w:r w:rsidRPr="00A7595E">
              <w:rPr>
                <w:rFonts w:ascii="Times New Roman" w:hAnsi="Times New Roman"/>
                <w:bCs/>
                <w:sz w:val="24"/>
                <w:szCs w:val="24"/>
                <w:lang w:val="ro-RO"/>
              </w:rPr>
              <w:t xml:space="preserve"> comunitar - Protecția consumatorului și a sănătății) a generat un volum </w:t>
            </w:r>
            <w:r w:rsidR="0030088B">
              <w:rPr>
                <w:rFonts w:ascii="Times New Roman" w:hAnsi="Times New Roman"/>
                <w:bCs/>
                <w:sz w:val="24"/>
                <w:szCs w:val="24"/>
                <w:lang w:val="ro-RO"/>
              </w:rPr>
              <w:t xml:space="preserve">mare </w:t>
            </w:r>
            <w:r w:rsidRPr="00A7595E">
              <w:rPr>
                <w:rFonts w:ascii="Times New Roman" w:hAnsi="Times New Roman"/>
                <w:bCs/>
                <w:sz w:val="24"/>
                <w:szCs w:val="24"/>
                <w:lang w:val="ro-RO"/>
              </w:rPr>
              <w:t xml:space="preserve">de </w:t>
            </w:r>
            <w:r w:rsidR="0030088B">
              <w:rPr>
                <w:rFonts w:ascii="Times New Roman" w:hAnsi="Times New Roman"/>
                <w:bCs/>
                <w:sz w:val="24"/>
                <w:szCs w:val="24"/>
                <w:lang w:val="ro-RO"/>
              </w:rPr>
              <w:t xml:space="preserve">elaborare de </w:t>
            </w:r>
            <w:r w:rsidRPr="00A7595E">
              <w:rPr>
                <w:rFonts w:ascii="Times New Roman" w:hAnsi="Times New Roman"/>
                <w:bCs/>
                <w:sz w:val="24"/>
                <w:szCs w:val="24"/>
                <w:lang w:val="ro-RO"/>
              </w:rPr>
              <w:t>acte naționale</w:t>
            </w:r>
            <w:r w:rsidR="0030088B">
              <w:rPr>
                <w:rFonts w:ascii="Times New Roman" w:hAnsi="Times New Roman"/>
                <w:bCs/>
                <w:sz w:val="24"/>
                <w:szCs w:val="24"/>
                <w:lang w:val="ro-RO"/>
              </w:rPr>
              <w:t>. Pentru</w:t>
            </w:r>
            <w:r w:rsidRPr="00A7595E">
              <w:rPr>
                <w:rFonts w:ascii="Times New Roman" w:hAnsi="Times New Roman"/>
                <w:bCs/>
                <w:sz w:val="24"/>
                <w:szCs w:val="24"/>
                <w:lang w:val="ro-RO"/>
              </w:rPr>
              <w:t xml:space="preserve"> </w:t>
            </w:r>
            <w:r w:rsidR="0030088B">
              <w:rPr>
                <w:rFonts w:ascii="Times New Roman" w:hAnsi="Times New Roman"/>
                <w:bCs/>
                <w:sz w:val="24"/>
                <w:szCs w:val="24"/>
                <w:lang w:val="ro-RO"/>
              </w:rPr>
              <w:t>ne</w:t>
            </w:r>
            <w:r w:rsidRPr="00A7595E">
              <w:rPr>
                <w:rFonts w:ascii="Times New Roman" w:hAnsi="Times New Roman"/>
                <w:bCs/>
                <w:sz w:val="24"/>
                <w:szCs w:val="24"/>
                <w:lang w:val="ro-RO"/>
              </w:rPr>
              <w:t>admiterea divergențe</w:t>
            </w:r>
            <w:r w:rsidR="0030088B">
              <w:rPr>
                <w:rFonts w:ascii="Times New Roman" w:hAnsi="Times New Roman"/>
                <w:bCs/>
                <w:sz w:val="24"/>
                <w:szCs w:val="24"/>
                <w:lang w:val="ro-RO"/>
              </w:rPr>
              <w:t>lor</w:t>
            </w:r>
            <w:r w:rsidRPr="00A7595E">
              <w:rPr>
                <w:rFonts w:ascii="Times New Roman" w:hAnsi="Times New Roman"/>
                <w:bCs/>
                <w:sz w:val="24"/>
                <w:szCs w:val="24"/>
                <w:lang w:val="ro-RO"/>
              </w:rPr>
              <w:t xml:space="preserve"> și contradicții</w:t>
            </w:r>
            <w:r w:rsidR="0030088B">
              <w:rPr>
                <w:rFonts w:ascii="Times New Roman" w:hAnsi="Times New Roman"/>
                <w:bCs/>
                <w:sz w:val="24"/>
                <w:szCs w:val="24"/>
                <w:lang w:val="ro-RO"/>
              </w:rPr>
              <w:t>lor</w:t>
            </w:r>
            <w:r w:rsidRPr="00A7595E">
              <w:rPr>
                <w:rFonts w:ascii="Times New Roman" w:hAnsi="Times New Roman"/>
                <w:bCs/>
                <w:sz w:val="24"/>
                <w:szCs w:val="24"/>
                <w:lang w:val="ro-RO"/>
              </w:rPr>
              <w:t xml:space="preserve"> de ordin legislativ, care</w:t>
            </w:r>
            <w:r w:rsidR="0030088B">
              <w:rPr>
                <w:rFonts w:ascii="Times New Roman" w:hAnsi="Times New Roman"/>
                <w:bCs/>
                <w:sz w:val="24"/>
                <w:szCs w:val="24"/>
                <w:lang w:val="ro-RO"/>
              </w:rPr>
              <w:t xml:space="preserve"> ar</w:t>
            </w:r>
            <w:r w:rsidRPr="00A7595E">
              <w:rPr>
                <w:rFonts w:ascii="Times New Roman" w:hAnsi="Times New Roman"/>
                <w:bCs/>
                <w:sz w:val="24"/>
                <w:szCs w:val="24"/>
                <w:lang w:val="ro-RO"/>
              </w:rPr>
              <w:t xml:space="preserve"> împiedic</w:t>
            </w:r>
            <w:r w:rsidR="0030088B">
              <w:rPr>
                <w:rFonts w:ascii="Times New Roman" w:hAnsi="Times New Roman"/>
                <w:bCs/>
                <w:sz w:val="24"/>
                <w:szCs w:val="24"/>
                <w:lang w:val="ro-RO"/>
              </w:rPr>
              <w:t>a la</w:t>
            </w:r>
            <w:r w:rsidRPr="00A7595E">
              <w:rPr>
                <w:rFonts w:ascii="Times New Roman" w:hAnsi="Times New Roman"/>
                <w:bCs/>
                <w:sz w:val="24"/>
                <w:szCs w:val="24"/>
                <w:lang w:val="ro-RO"/>
              </w:rPr>
              <w:t xml:space="preserve"> implementarea practică </w:t>
            </w:r>
            <w:r w:rsidR="00E10A44">
              <w:rPr>
                <w:rFonts w:ascii="Times New Roman" w:hAnsi="Times New Roman"/>
                <w:bCs/>
                <w:sz w:val="24"/>
                <w:szCs w:val="24"/>
                <w:lang w:val="ro-RO"/>
              </w:rPr>
              <w:t>eficientă</w:t>
            </w:r>
            <w:r w:rsidRPr="00A7595E">
              <w:rPr>
                <w:rFonts w:ascii="Times New Roman" w:hAnsi="Times New Roman"/>
                <w:bCs/>
                <w:sz w:val="24"/>
                <w:szCs w:val="24"/>
                <w:lang w:val="ro-RO"/>
              </w:rPr>
              <w:t xml:space="preserve"> a acestora</w:t>
            </w:r>
            <w:r w:rsidR="0030088B">
              <w:rPr>
                <w:rFonts w:ascii="Times New Roman" w:hAnsi="Times New Roman"/>
                <w:bCs/>
                <w:sz w:val="24"/>
                <w:szCs w:val="24"/>
                <w:lang w:val="ro-RO"/>
              </w:rPr>
              <w:t>, este necesar a prevedea și dezvolta din start mecanismul de implementare a actelor, care impune creșterea cunoștințelor în materie legislativă în sănătate publică a țărilor UE</w:t>
            </w:r>
            <w:r w:rsidRPr="00A7595E">
              <w:rPr>
                <w:rFonts w:ascii="Times New Roman" w:hAnsi="Times New Roman"/>
                <w:bCs/>
                <w:sz w:val="24"/>
                <w:szCs w:val="24"/>
                <w:lang w:val="ro-RO"/>
              </w:rPr>
              <w:t xml:space="preserve">. </w:t>
            </w:r>
            <w:r w:rsidR="0030088B">
              <w:rPr>
                <w:rFonts w:ascii="Times New Roman" w:hAnsi="Times New Roman"/>
                <w:bCs/>
                <w:sz w:val="24"/>
                <w:szCs w:val="24"/>
                <w:lang w:val="ro-RO"/>
              </w:rPr>
              <w:t xml:space="preserve">În aceeași ordine de idei ANSP dezvoltă proiecte internaționale și le depune la diferite instituții internaționale. </w:t>
            </w:r>
            <w:r w:rsidRPr="00A7595E">
              <w:rPr>
                <w:rFonts w:ascii="Times New Roman" w:hAnsi="Times New Roman"/>
                <w:bCs/>
                <w:sz w:val="24"/>
                <w:szCs w:val="24"/>
                <w:lang w:val="ro-RO"/>
              </w:rPr>
              <w:t>De asemenea, ANSP participă activ la proiecte internaționale de cercetare, studii, elaborare a actelor normative, care necesită o evidență și monitorizare adecvată. Suplimentar, ANSP are relații bilaterale cu diferite organisme și proiecte internaționale, instituții similare, care trebuie gestionate eficient. În acest context, se propune înființarea unei subdiviziuni separate pentru gestionarea eficientă a acestor domenii.</w:t>
            </w:r>
          </w:p>
          <w:p w14:paraId="0D193427" w14:textId="77777777" w:rsidR="00224805" w:rsidRPr="00A7595E" w:rsidRDefault="00224805" w:rsidP="00224805">
            <w:pPr>
              <w:numPr>
                <w:ilvl w:val="0"/>
                <w:numId w:val="48"/>
              </w:numPr>
              <w:tabs>
                <w:tab w:val="left" w:pos="884"/>
                <w:tab w:val="left" w:pos="1196"/>
              </w:tabs>
              <w:spacing w:after="160"/>
              <w:ind w:left="314" w:hanging="314"/>
              <w:contextualSpacing/>
              <w:rPr>
                <w:rFonts w:ascii="Times New Roman" w:hAnsi="Times New Roman"/>
                <w:sz w:val="24"/>
                <w:szCs w:val="24"/>
                <w:lang w:val="ro-RO"/>
              </w:rPr>
            </w:pPr>
            <w:r w:rsidRPr="00A7595E">
              <w:rPr>
                <w:rFonts w:ascii="Times New Roman" w:hAnsi="Times New Roman"/>
                <w:b/>
                <w:bCs/>
                <w:sz w:val="24"/>
                <w:szCs w:val="24"/>
                <w:lang w:val="ro-RO"/>
              </w:rPr>
              <w:t>Serviciul control intern și integritate</w:t>
            </w:r>
            <w:r w:rsidRPr="00A7595E">
              <w:rPr>
                <w:rFonts w:ascii="Times New Roman" w:hAnsi="Times New Roman"/>
                <w:bCs/>
                <w:sz w:val="24"/>
                <w:szCs w:val="24"/>
                <w:lang w:val="ro-RO"/>
              </w:rPr>
              <w:t xml:space="preserve">. Urmare a evaluării integrității instituționale în cadrul ANSP, realizate de către Centrul Național Anticorupție (CNA) în condițiile Legii nr. 325/2013 privind evaluarea integrității instituționale în perioada anilor 2018-2021, au fost identificate o serie de deficiențe în cadrul normativ aferent domeniului sănătății publice. Astfel, s-a stabilit că, prevederile Legii nr. 10/2009 privind supravegherea de stat a sănătății publice, nu asigură o claritate privitor la statutul angajaților din cadrul entității, precum și drepturile și obligațiile acestora. </w:t>
            </w:r>
            <w:r w:rsidRPr="00A7595E">
              <w:rPr>
                <w:rFonts w:ascii="Times New Roman" w:hAnsi="Times New Roman"/>
                <w:sz w:val="24"/>
                <w:szCs w:val="24"/>
                <w:lang w:val="ro-RO"/>
              </w:rPr>
              <w:t xml:space="preserve">În scopul fortificării mecanismului de control, monitorizare și/sau sancționare a celor care nu denunță manifestările de corupție sau influențele necorespunzătoare, inclusiv care admit abateri disciplinare/incidente de integritatea, CNA a recomandat crearea unei structuri responsabile de examinare acestor abaterilor disciplinare. Astfel instituirea </w:t>
            </w:r>
            <w:r w:rsidRPr="00A7595E">
              <w:rPr>
                <w:rFonts w:ascii="Times New Roman" w:hAnsi="Times New Roman"/>
                <w:i/>
                <w:sz w:val="24"/>
                <w:szCs w:val="24"/>
                <w:lang w:val="ro-RO"/>
              </w:rPr>
              <w:t>serviciului de control intern și integritate</w:t>
            </w:r>
            <w:r w:rsidRPr="00A7595E">
              <w:rPr>
                <w:rFonts w:ascii="Times New Roman" w:hAnsi="Times New Roman"/>
                <w:sz w:val="24"/>
                <w:szCs w:val="24"/>
                <w:lang w:val="ro-RO"/>
              </w:rPr>
              <w:t xml:space="preserve"> în cadrul ANSP va contribui la perfecționarea sistemului de control intern  care va monitoriza disciplina muncii și integritatea angajaților, va asigura implementarea </w:t>
            </w:r>
            <w:r w:rsidRPr="00A7595E">
              <w:rPr>
                <w:rFonts w:ascii="Times New Roman" w:hAnsi="Times New Roman"/>
                <w:sz w:val="24"/>
                <w:szCs w:val="24"/>
                <w:lang w:val="ro-RO"/>
              </w:rPr>
              <w:lastRenderedPageBreak/>
              <w:t>conformă a politicii privind intoleranța față de incidentele de integritate, inclusiv sancționarea disciplinară a tuturor incidentelor de integritate ce constituie abateri disciplinare admise de agenții publici.</w:t>
            </w:r>
          </w:p>
          <w:p w14:paraId="648A63C2" w14:textId="77777777" w:rsidR="00224805" w:rsidRPr="00A7595E" w:rsidRDefault="00224805" w:rsidP="00224805">
            <w:pPr>
              <w:tabs>
                <w:tab w:val="left" w:pos="884"/>
                <w:tab w:val="left" w:pos="1196"/>
              </w:tabs>
              <w:spacing w:after="160"/>
              <w:ind w:left="314" w:firstLine="0"/>
              <w:contextualSpacing/>
              <w:rPr>
                <w:rFonts w:ascii="Times New Roman" w:hAnsi="Times New Roman"/>
                <w:b/>
                <w:bCs/>
                <w:sz w:val="24"/>
                <w:szCs w:val="24"/>
                <w:lang w:val="ro-RO"/>
              </w:rPr>
            </w:pPr>
          </w:p>
          <w:p w14:paraId="2EAF62D8" w14:textId="60C8C508" w:rsidR="00224805" w:rsidRPr="00A7595E" w:rsidRDefault="00224805" w:rsidP="00224805">
            <w:pPr>
              <w:tabs>
                <w:tab w:val="left" w:pos="884"/>
                <w:tab w:val="left" w:pos="1196"/>
              </w:tabs>
              <w:spacing w:after="160"/>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          Astfel în contextul schimbărilor continue din domeniul sănătății publice, modificările propuse în structura organizațională a ANSP sunt esențiale pentru îmbunătățirea eficienței și funcționării adecvate a organizației. Aceste modificări vor consolida funcționarea ANSP și vor contribui la atingerea obiectivelor stabilite în domeniul sănătății publice. Optimizarea resurselor, încurajarea inovării și transferului de cunoștințe și crearea unei structuri organizaționale mai flexibile și adaptabile sunt doar câteva dintre beneficiile pe care le va aduce implementarea acestor modificări. Prin urmare, este imperativ să avansăm cu aceste schimbări pentru a asigura o mai bună gestionare a resurselor umane, o eficiență crescută și o abordare mai eficientă a problemelor de sănătate publică.</w:t>
            </w:r>
          </w:p>
          <w:p w14:paraId="34C090B3" w14:textId="5C3F7E22" w:rsidR="00224805" w:rsidRPr="00A7595E" w:rsidRDefault="00224805" w:rsidP="00224805">
            <w:pPr>
              <w:tabs>
                <w:tab w:val="left" w:pos="884"/>
                <w:tab w:val="left" w:pos="1196"/>
              </w:tabs>
              <w:spacing w:after="160"/>
              <w:ind w:left="314" w:firstLine="0"/>
              <w:contextualSpacing/>
              <w:rPr>
                <w:rFonts w:ascii="Times New Roman" w:hAnsi="Times New Roman"/>
                <w:sz w:val="24"/>
                <w:szCs w:val="24"/>
                <w:lang w:val="ro-RO"/>
              </w:rPr>
            </w:pPr>
            <w:r w:rsidRPr="00A7595E">
              <w:rPr>
                <w:rFonts w:ascii="Times New Roman" w:hAnsi="Times New Roman"/>
                <w:sz w:val="24"/>
                <w:szCs w:val="24"/>
                <w:lang w:val="ro-RO"/>
              </w:rPr>
              <w:t xml:space="preserve">          Totodată, reieșind din prevederile art. 18, alin. (5) din Legea nr. 10/2009 privind supravegherea de stat a sănătății publice, proiectul de document prevede și aprobarea regulamentului privind uniforma și semnele de distincție a personalului Agenției abilitat cu funcții de control de stat în sănătate publică. Acest lucru va asigura identificarea și protecția personalului ANSP cu drept de control de stat în exercitarea atribuțiilor funcționale, precum și alinierea la personalul altor autorități cu drept de control, care în exercitarea atribuțiilor sunt asigurați cu uniforme de serviciu.</w:t>
            </w:r>
          </w:p>
          <w:p w14:paraId="239A7923" w14:textId="1C65571C" w:rsidR="00624F18" w:rsidRPr="00A7595E" w:rsidRDefault="00624F18" w:rsidP="00224805">
            <w:pPr>
              <w:ind w:firstLine="0"/>
              <w:rPr>
                <w:rFonts w:ascii="Times New Roman" w:hAnsi="Times New Roman"/>
                <w:sz w:val="24"/>
                <w:szCs w:val="24"/>
                <w:lang w:val="ro-RO"/>
              </w:rPr>
            </w:pPr>
          </w:p>
        </w:tc>
      </w:tr>
      <w:tr w:rsidR="00B159B4" w:rsidRPr="00A7595E" w14:paraId="79231A35"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C7AABF1" w14:textId="77777777" w:rsidR="00B159B4" w:rsidRPr="00A7595E" w:rsidRDefault="00000000">
            <w:pPr>
              <w:rPr>
                <w:rFonts w:ascii="Times New Roman" w:hAnsi="Times New Roman"/>
                <w:sz w:val="24"/>
                <w:szCs w:val="24"/>
                <w:lang w:val="ro-RO"/>
              </w:rPr>
            </w:pPr>
            <w:r w:rsidRPr="00A7595E">
              <w:rPr>
                <w:rFonts w:ascii="Times New Roman" w:hAnsi="Times New Roman"/>
                <w:sz w:val="24"/>
                <w:szCs w:val="24"/>
                <w:lang w:val="ro-RO"/>
              </w:rPr>
              <w:lastRenderedPageBreak/>
              <w:t>3.2. Opțiunile alternative analizate și motivele pentru care acestea nu au fost luate în considerare</w:t>
            </w:r>
          </w:p>
        </w:tc>
      </w:tr>
      <w:tr w:rsidR="00B159B4" w:rsidRPr="0036045D" w14:paraId="7A8C0DE3" w14:textId="77777777" w:rsidTr="00B867EB">
        <w:tc>
          <w:tcPr>
            <w:tcW w:w="90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CB14B9" w14:textId="11F30954" w:rsidR="00224805" w:rsidRPr="00A7595E" w:rsidRDefault="00224805" w:rsidP="00224805">
            <w:pPr>
              <w:rPr>
                <w:rFonts w:ascii="Times New Roman" w:hAnsi="Times New Roman"/>
                <w:sz w:val="24"/>
                <w:szCs w:val="24"/>
                <w:lang w:val="ro-RO"/>
              </w:rPr>
            </w:pPr>
            <w:r w:rsidRPr="00A7595E">
              <w:rPr>
                <w:rFonts w:ascii="Times New Roman" w:hAnsi="Times New Roman"/>
                <w:sz w:val="24"/>
                <w:szCs w:val="24"/>
                <w:lang w:val="ro-RO"/>
              </w:rPr>
              <w:t>În cadrul procesului de elaborare a proiectului de hotărâre, au fost analizate opțiunile alternative pentru optimizarea structurii și funcțiilor Agenției Naționale pentru Sănătate Publică (ANSP). Principalele opțiuni analizate și motivele pentru care acestea nu au fost luate în considerare sunt</w:t>
            </w:r>
            <w:r w:rsidR="0011263F" w:rsidRPr="00A7595E">
              <w:rPr>
                <w:rFonts w:ascii="Times New Roman" w:hAnsi="Times New Roman"/>
                <w:sz w:val="24"/>
                <w:szCs w:val="24"/>
                <w:lang w:val="ro-RO"/>
              </w:rPr>
              <w:t xml:space="preserve"> expuse mai jos</w:t>
            </w:r>
            <w:r w:rsidRPr="00A7595E">
              <w:rPr>
                <w:rFonts w:ascii="Times New Roman" w:hAnsi="Times New Roman"/>
                <w:sz w:val="24"/>
                <w:szCs w:val="24"/>
                <w:lang w:val="ro-RO"/>
              </w:rPr>
              <w:t>:</w:t>
            </w:r>
          </w:p>
          <w:p w14:paraId="04A7919D" w14:textId="3A61232C" w:rsidR="00224805" w:rsidRPr="00A7595E" w:rsidRDefault="00224805" w:rsidP="0011263F">
            <w:pPr>
              <w:rPr>
                <w:rFonts w:ascii="Times New Roman" w:hAnsi="Times New Roman"/>
                <w:sz w:val="24"/>
                <w:szCs w:val="24"/>
                <w:lang w:val="ro-RO"/>
              </w:rPr>
            </w:pPr>
            <w:r w:rsidRPr="00A7595E">
              <w:rPr>
                <w:rFonts w:ascii="Times New Roman" w:hAnsi="Times New Roman"/>
                <w:sz w:val="24"/>
                <w:szCs w:val="24"/>
                <w:lang w:val="ro-RO"/>
              </w:rPr>
              <w:t>1.Păstrarea structurii organizaționale existente a ANSP, ar fi implicat menținerea structurii și atribuțiilor actuale ale ANSP, fără a introduce modificări semnificative</w:t>
            </w:r>
            <w:r w:rsidR="0011263F" w:rsidRPr="00A7595E">
              <w:rPr>
                <w:rFonts w:ascii="Times New Roman" w:hAnsi="Times New Roman"/>
                <w:sz w:val="24"/>
                <w:szCs w:val="24"/>
                <w:lang w:val="ro-RO"/>
              </w:rPr>
              <w:t xml:space="preserve"> și aducerea în concordanță cu legislația națională</w:t>
            </w:r>
            <w:r w:rsidRPr="00A7595E">
              <w:rPr>
                <w:rFonts w:ascii="Times New Roman" w:hAnsi="Times New Roman"/>
                <w:sz w:val="24"/>
                <w:szCs w:val="24"/>
                <w:lang w:val="ro-RO"/>
              </w:rPr>
              <w:t>.</w:t>
            </w:r>
            <w:r w:rsidR="0011263F" w:rsidRPr="00A7595E">
              <w:rPr>
                <w:rFonts w:ascii="Times New Roman" w:hAnsi="Times New Roman"/>
                <w:sz w:val="24"/>
                <w:szCs w:val="24"/>
                <w:lang w:val="ro-RO"/>
              </w:rPr>
              <w:t xml:space="preserve"> Respectiv, p</w:t>
            </w:r>
            <w:r w:rsidRPr="00A7595E">
              <w:rPr>
                <w:rFonts w:ascii="Times New Roman" w:hAnsi="Times New Roman"/>
                <w:sz w:val="24"/>
                <w:szCs w:val="24"/>
                <w:lang w:val="ro-RO"/>
              </w:rPr>
              <w:t>ăstrarea structurii actuale nu ar fi rezolvat problemele și deficiențele identificate, precum ineficiența operațională și competențele improprii atribuite ANSP</w:t>
            </w:r>
            <w:r w:rsidR="0011263F" w:rsidRPr="00A7595E">
              <w:rPr>
                <w:rFonts w:ascii="Times New Roman" w:hAnsi="Times New Roman"/>
                <w:sz w:val="24"/>
                <w:szCs w:val="24"/>
                <w:lang w:val="ro-RO"/>
              </w:rPr>
              <w:t xml:space="preserve"> prin menținerea disfuncționalităților și deficiențelor în realizarea controlului de stat în sănătatea publică</w:t>
            </w:r>
            <w:r w:rsidRPr="00A7595E">
              <w:rPr>
                <w:rFonts w:ascii="Times New Roman" w:hAnsi="Times New Roman"/>
                <w:sz w:val="24"/>
                <w:szCs w:val="24"/>
                <w:lang w:val="ro-RO"/>
              </w:rPr>
              <w:t>.</w:t>
            </w:r>
          </w:p>
          <w:p w14:paraId="2B89DC20" w14:textId="251BCF8B" w:rsidR="00224805" w:rsidRPr="00A7595E" w:rsidRDefault="00F72370" w:rsidP="00224805">
            <w:pPr>
              <w:rPr>
                <w:rFonts w:ascii="Times New Roman" w:hAnsi="Times New Roman"/>
                <w:sz w:val="24"/>
                <w:szCs w:val="24"/>
                <w:lang w:val="ro-RO"/>
              </w:rPr>
            </w:pPr>
            <w:r>
              <w:rPr>
                <w:rFonts w:ascii="Times New Roman" w:hAnsi="Times New Roman"/>
                <w:sz w:val="24"/>
                <w:szCs w:val="24"/>
                <w:lang w:val="ro-RO"/>
              </w:rPr>
              <w:t>Totodată, s</w:t>
            </w:r>
            <w:r w:rsidR="00224805" w:rsidRPr="00A7595E">
              <w:rPr>
                <w:rFonts w:ascii="Times New Roman" w:hAnsi="Times New Roman"/>
                <w:sz w:val="24"/>
                <w:szCs w:val="24"/>
                <w:lang w:val="ro-RO"/>
              </w:rPr>
              <w:t>tructura existentă nu permitea o reacție adecvată la urgențele de sănătate publică și nu răspunde</w:t>
            </w:r>
            <w:r>
              <w:rPr>
                <w:rFonts w:ascii="Times New Roman" w:hAnsi="Times New Roman"/>
                <w:sz w:val="24"/>
                <w:szCs w:val="24"/>
                <w:lang w:val="ro-RO"/>
              </w:rPr>
              <w:t xml:space="preserve"> l</w:t>
            </w:r>
            <w:r w:rsidR="00224805" w:rsidRPr="00A7595E">
              <w:rPr>
                <w:rFonts w:ascii="Times New Roman" w:hAnsi="Times New Roman"/>
                <w:sz w:val="24"/>
                <w:szCs w:val="24"/>
                <w:lang w:val="ro-RO"/>
              </w:rPr>
              <w:t>a cerințel</w:t>
            </w:r>
            <w:r>
              <w:rPr>
                <w:rFonts w:ascii="Times New Roman" w:hAnsi="Times New Roman"/>
                <w:sz w:val="24"/>
                <w:szCs w:val="24"/>
                <w:lang w:val="ro-RO"/>
              </w:rPr>
              <w:t>e</w:t>
            </w:r>
            <w:r w:rsidR="00224805" w:rsidRPr="00A7595E">
              <w:rPr>
                <w:rFonts w:ascii="Times New Roman" w:hAnsi="Times New Roman"/>
                <w:sz w:val="24"/>
                <w:szCs w:val="24"/>
                <w:lang w:val="ro-RO"/>
              </w:rPr>
              <w:t xml:space="preserve"> </w:t>
            </w:r>
            <w:r w:rsidR="00E10A44">
              <w:rPr>
                <w:rFonts w:ascii="Times New Roman" w:hAnsi="Times New Roman"/>
                <w:sz w:val="24"/>
                <w:szCs w:val="24"/>
                <w:lang w:val="ro-RO"/>
              </w:rPr>
              <w:t xml:space="preserve">naționale și </w:t>
            </w:r>
            <w:r w:rsidR="00224805" w:rsidRPr="00A7595E">
              <w:rPr>
                <w:rFonts w:ascii="Times New Roman" w:hAnsi="Times New Roman"/>
                <w:sz w:val="24"/>
                <w:szCs w:val="24"/>
                <w:lang w:val="ro-RO"/>
              </w:rPr>
              <w:t>internaționale.</w:t>
            </w:r>
          </w:p>
          <w:p w14:paraId="6C667A56" w14:textId="17389693" w:rsidR="00224805" w:rsidRPr="00A7595E" w:rsidRDefault="003B387E" w:rsidP="00F72370">
            <w:pPr>
              <w:rPr>
                <w:rFonts w:ascii="Times New Roman" w:hAnsi="Times New Roman"/>
                <w:sz w:val="24"/>
                <w:szCs w:val="24"/>
                <w:lang w:val="ro-RO"/>
              </w:rPr>
            </w:pPr>
            <w:r>
              <w:rPr>
                <w:rFonts w:ascii="Times New Roman" w:hAnsi="Times New Roman"/>
                <w:sz w:val="24"/>
                <w:szCs w:val="24"/>
                <w:lang w:val="ro-RO"/>
              </w:rPr>
              <w:t xml:space="preserve">2. </w:t>
            </w:r>
            <w:r w:rsidR="00224805" w:rsidRPr="00A7595E">
              <w:rPr>
                <w:rFonts w:ascii="Times New Roman" w:hAnsi="Times New Roman"/>
                <w:sz w:val="24"/>
                <w:szCs w:val="24"/>
                <w:lang w:val="ro-RO"/>
              </w:rPr>
              <w:t>Continuarea activității în cadrul structurii actuale ar fi</w:t>
            </w:r>
            <w:r>
              <w:rPr>
                <w:rFonts w:ascii="Times New Roman" w:hAnsi="Times New Roman"/>
                <w:sz w:val="24"/>
                <w:szCs w:val="24"/>
                <w:lang w:val="ro-RO"/>
              </w:rPr>
              <w:t xml:space="preserve"> prin r</w:t>
            </w:r>
            <w:r w:rsidR="00224805" w:rsidRPr="00A7595E">
              <w:rPr>
                <w:rFonts w:ascii="Times New Roman" w:hAnsi="Times New Roman"/>
                <w:sz w:val="24"/>
                <w:szCs w:val="24"/>
                <w:lang w:val="ro-RO"/>
              </w:rPr>
              <w:t xml:space="preserve">educerea atribuțiilor ANSP prin transferul competențelor </w:t>
            </w:r>
            <w:r w:rsidR="00F72370" w:rsidRPr="00A7595E">
              <w:rPr>
                <w:rFonts w:ascii="Times New Roman" w:hAnsi="Times New Roman"/>
                <w:sz w:val="24"/>
                <w:szCs w:val="24"/>
                <w:lang w:val="ro-RO"/>
              </w:rPr>
              <w:t xml:space="preserve">de control </w:t>
            </w:r>
            <w:r w:rsidR="00224805" w:rsidRPr="00A7595E">
              <w:rPr>
                <w:rFonts w:ascii="Times New Roman" w:hAnsi="Times New Roman"/>
                <w:sz w:val="24"/>
                <w:szCs w:val="24"/>
                <w:lang w:val="ro-RO"/>
              </w:rPr>
              <w:t>către alte autorități</w:t>
            </w:r>
            <w:r w:rsidR="00F72370">
              <w:rPr>
                <w:rFonts w:ascii="Times New Roman" w:hAnsi="Times New Roman"/>
                <w:sz w:val="24"/>
                <w:szCs w:val="24"/>
                <w:lang w:val="ro-RO"/>
              </w:rPr>
              <w:t xml:space="preserve"> </w:t>
            </w:r>
            <w:r w:rsidR="00F72370" w:rsidRPr="00A7595E">
              <w:rPr>
                <w:rFonts w:ascii="Times New Roman" w:hAnsi="Times New Roman"/>
                <w:sz w:val="24"/>
                <w:szCs w:val="24"/>
                <w:lang w:val="ro-RO"/>
              </w:rPr>
              <w:t>sau agenții specializate</w:t>
            </w:r>
            <w:r w:rsidR="00F72370">
              <w:rPr>
                <w:rFonts w:ascii="Times New Roman" w:hAnsi="Times New Roman"/>
                <w:sz w:val="24"/>
                <w:szCs w:val="24"/>
                <w:lang w:val="ro-RO"/>
              </w:rPr>
              <w:t>, care de fapt ar fi neconforme legislației actualizate</w:t>
            </w:r>
            <w:r>
              <w:rPr>
                <w:rFonts w:ascii="Times New Roman" w:hAnsi="Times New Roman"/>
                <w:sz w:val="24"/>
                <w:szCs w:val="24"/>
                <w:lang w:val="ro-RO"/>
              </w:rPr>
              <w:t xml:space="preserve">. </w:t>
            </w:r>
          </w:p>
          <w:p w14:paraId="142955BC" w14:textId="0BCA5372" w:rsidR="00224805"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N</w:t>
            </w:r>
            <w:r w:rsidR="00224805" w:rsidRPr="00A7595E">
              <w:rPr>
                <w:rFonts w:ascii="Times New Roman" w:hAnsi="Times New Roman"/>
                <w:sz w:val="24"/>
                <w:szCs w:val="24"/>
                <w:lang w:val="ro-RO"/>
              </w:rPr>
              <w:t>eacceptare</w:t>
            </w:r>
            <w:r w:rsidRPr="00A7595E">
              <w:rPr>
                <w:rFonts w:ascii="Times New Roman" w:hAnsi="Times New Roman"/>
                <w:sz w:val="24"/>
                <w:szCs w:val="24"/>
                <w:lang w:val="ro-RO"/>
              </w:rPr>
              <w:t xml:space="preserve">a acestei opțiuni </w:t>
            </w:r>
            <w:r w:rsidR="003B387E">
              <w:rPr>
                <w:rFonts w:ascii="Times New Roman" w:hAnsi="Times New Roman"/>
                <w:sz w:val="24"/>
                <w:szCs w:val="24"/>
                <w:lang w:val="ro-RO"/>
              </w:rPr>
              <w:t xml:space="preserve">este argumentată </w:t>
            </w:r>
            <w:r w:rsidRPr="00A7595E">
              <w:rPr>
                <w:rFonts w:ascii="Times New Roman" w:hAnsi="Times New Roman"/>
                <w:sz w:val="24"/>
                <w:szCs w:val="24"/>
                <w:lang w:val="ro-RO"/>
              </w:rPr>
              <w:t>din motivul că, t</w:t>
            </w:r>
            <w:r w:rsidR="00224805" w:rsidRPr="00A7595E">
              <w:rPr>
                <w:rFonts w:ascii="Times New Roman" w:hAnsi="Times New Roman"/>
                <w:sz w:val="24"/>
                <w:szCs w:val="24"/>
                <w:lang w:val="ro-RO"/>
              </w:rPr>
              <w:t>ransferul competențelor ar fi creat confuzie și suprapuneri de responsabilități între diferite autorități</w:t>
            </w:r>
            <w:r w:rsidR="00F72370">
              <w:rPr>
                <w:rFonts w:ascii="Times New Roman" w:hAnsi="Times New Roman"/>
                <w:sz w:val="24"/>
                <w:szCs w:val="24"/>
                <w:lang w:val="ro-RO"/>
              </w:rPr>
              <w:t>.</w:t>
            </w:r>
            <w:r w:rsidRPr="00A7595E">
              <w:rPr>
                <w:rFonts w:ascii="Times New Roman" w:hAnsi="Times New Roman"/>
                <w:sz w:val="24"/>
                <w:szCs w:val="24"/>
                <w:lang w:val="ro-RO"/>
              </w:rPr>
              <w:t xml:space="preserve"> A</w:t>
            </w:r>
            <w:r w:rsidR="00224805" w:rsidRPr="00A7595E">
              <w:rPr>
                <w:rFonts w:ascii="Times New Roman" w:hAnsi="Times New Roman"/>
                <w:sz w:val="24"/>
                <w:szCs w:val="24"/>
                <w:lang w:val="ro-RO"/>
              </w:rPr>
              <w:t>r fi necesitat o coordonare extinsă și complexă între mai multe entități, ceea ce ar fi putut duce la ineficiențe și întârzieri în implementarea măsurilor de sănătate publică.</w:t>
            </w:r>
            <w:r w:rsidRPr="00A7595E">
              <w:rPr>
                <w:rFonts w:ascii="Times New Roman" w:hAnsi="Times New Roman"/>
                <w:sz w:val="24"/>
                <w:szCs w:val="24"/>
                <w:lang w:val="ro-RO"/>
              </w:rPr>
              <w:t xml:space="preserve"> Totodată</w:t>
            </w:r>
            <w:r w:rsidR="00D07AA6" w:rsidRPr="00A7595E">
              <w:rPr>
                <w:rFonts w:ascii="Times New Roman" w:hAnsi="Times New Roman"/>
                <w:sz w:val="24"/>
                <w:szCs w:val="24"/>
                <w:lang w:val="ro-RO"/>
              </w:rPr>
              <w:t>,</w:t>
            </w:r>
            <w:r w:rsidRPr="00A7595E">
              <w:rPr>
                <w:rFonts w:ascii="Times New Roman" w:hAnsi="Times New Roman"/>
                <w:sz w:val="24"/>
                <w:szCs w:val="24"/>
                <w:lang w:val="ro-RO"/>
              </w:rPr>
              <w:t xml:space="preserve"> </w:t>
            </w:r>
            <w:r w:rsidR="00D07AA6" w:rsidRPr="00A7595E">
              <w:rPr>
                <w:rFonts w:ascii="Times New Roman" w:hAnsi="Times New Roman"/>
                <w:sz w:val="24"/>
                <w:szCs w:val="24"/>
                <w:lang w:val="ro-RO"/>
              </w:rPr>
              <w:t>n</w:t>
            </w:r>
            <w:r w:rsidR="00224805" w:rsidRPr="00A7595E">
              <w:rPr>
                <w:rFonts w:ascii="Times New Roman" w:hAnsi="Times New Roman"/>
                <w:sz w:val="24"/>
                <w:szCs w:val="24"/>
                <w:lang w:val="ro-RO"/>
              </w:rPr>
              <w:t>u ar fi rezolvat problema principală a necesității unei structuri organizatorice mai eficiente în cadrul ANSP.</w:t>
            </w:r>
          </w:p>
          <w:p w14:paraId="52B16567" w14:textId="2173D94B" w:rsidR="00B159B4" w:rsidRPr="00A7595E" w:rsidRDefault="00224805" w:rsidP="00224805">
            <w:pPr>
              <w:rPr>
                <w:rFonts w:ascii="Times New Roman" w:hAnsi="Times New Roman"/>
                <w:sz w:val="24"/>
                <w:szCs w:val="24"/>
                <w:lang w:val="ro-RO"/>
              </w:rPr>
            </w:pPr>
            <w:r w:rsidRPr="00A7595E">
              <w:rPr>
                <w:rFonts w:ascii="Times New Roman" w:hAnsi="Times New Roman"/>
                <w:sz w:val="24"/>
                <w:szCs w:val="24"/>
                <w:lang w:val="ro-RO"/>
              </w:rPr>
              <w:t xml:space="preserve">După analizarea opțiunilor alternative, s-a </w:t>
            </w:r>
            <w:r w:rsidR="00D07AA6" w:rsidRPr="00A7595E">
              <w:rPr>
                <w:rFonts w:ascii="Times New Roman" w:hAnsi="Times New Roman"/>
                <w:sz w:val="24"/>
                <w:szCs w:val="24"/>
                <w:lang w:val="ro-RO"/>
              </w:rPr>
              <w:t>constatat</w:t>
            </w:r>
            <w:r w:rsidRPr="00A7595E">
              <w:rPr>
                <w:rFonts w:ascii="Times New Roman" w:hAnsi="Times New Roman"/>
                <w:sz w:val="24"/>
                <w:szCs w:val="24"/>
                <w:lang w:val="ro-RO"/>
              </w:rPr>
              <w:t xml:space="preserve"> că o reorganizare completă și cuprinzătoare a structurii organizaționale a ANSP este cea mai eficientă soluție pentru a îmbunătăți eficiența operațională și funcționalitatea </w:t>
            </w:r>
            <w:r w:rsidR="00F72370">
              <w:rPr>
                <w:rFonts w:ascii="Times New Roman" w:hAnsi="Times New Roman"/>
                <w:sz w:val="24"/>
                <w:szCs w:val="24"/>
                <w:lang w:val="ro-RO"/>
              </w:rPr>
              <w:t>ANSP</w:t>
            </w:r>
            <w:r w:rsidRPr="00A7595E">
              <w:rPr>
                <w:rFonts w:ascii="Times New Roman" w:hAnsi="Times New Roman"/>
                <w:sz w:val="24"/>
                <w:szCs w:val="24"/>
                <w:lang w:val="ro-RO"/>
              </w:rPr>
              <w:t xml:space="preserve">. Aceasta permite adresarea tuturor </w:t>
            </w:r>
            <w:r w:rsidRPr="00A7595E">
              <w:rPr>
                <w:rFonts w:ascii="Times New Roman" w:hAnsi="Times New Roman"/>
                <w:sz w:val="24"/>
                <w:szCs w:val="24"/>
                <w:lang w:val="ro-RO"/>
              </w:rPr>
              <w:lastRenderedPageBreak/>
              <w:t>deficiențelor și optimizarea atribuțiilor, răspunzând în același timp cerințelor internaționale și nevoilor actuale ale sănătății publice.</w:t>
            </w:r>
          </w:p>
        </w:tc>
      </w:tr>
      <w:tr w:rsidR="00B159B4" w:rsidRPr="00A7595E" w14:paraId="42CD240C" w14:textId="77777777" w:rsidTr="00B867EB">
        <w:trPr>
          <w:trHeight w:val="381"/>
        </w:trPr>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FDA5C3" w14:textId="77777777" w:rsidR="00B159B4" w:rsidRPr="00A7595E" w:rsidRDefault="00000000">
            <w:pPr>
              <w:rPr>
                <w:rFonts w:ascii="Times New Roman" w:hAnsi="Times New Roman"/>
                <w:b/>
                <w:bCs/>
                <w:sz w:val="24"/>
                <w:szCs w:val="24"/>
                <w:lang w:val="ro-RO"/>
              </w:rPr>
            </w:pPr>
            <w:r w:rsidRPr="00A7595E">
              <w:rPr>
                <w:rFonts w:ascii="Times New Roman" w:hAnsi="Times New Roman"/>
                <w:b/>
                <w:bCs/>
                <w:sz w:val="24"/>
                <w:szCs w:val="24"/>
                <w:lang w:val="ro-RO"/>
              </w:rPr>
              <w:lastRenderedPageBreak/>
              <w:t xml:space="preserve">4. Analiza impactului de reglementare </w:t>
            </w:r>
          </w:p>
        </w:tc>
      </w:tr>
      <w:tr w:rsidR="00B159B4" w:rsidRPr="00A7595E" w14:paraId="60289741"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ECC403" w14:textId="77777777" w:rsidR="00B159B4" w:rsidRPr="00A7595E" w:rsidRDefault="00000000">
            <w:pPr>
              <w:rPr>
                <w:rFonts w:ascii="Times New Roman" w:hAnsi="Times New Roman"/>
                <w:sz w:val="24"/>
                <w:szCs w:val="24"/>
                <w:lang w:val="ro-RO"/>
              </w:rPr>
            </w:pPr>
            <w:r w:rsidRPr="00A7595E">
              <w:rPr>
                <w:rFonts w:ascii="Times New Roman" w:hAnsi="Times New Roman"/>
                <w:sz w:val="24"/>
                <w:szCs w:val="24"/>
                <w:lang w:val="ro-RO"/>
              </w:rPr>
              <w:t>4.1. Impactul asupra sectorului public</w:t>
            </w:r>
          </w:p>
        </w:tc>
      </w:tr>
      <w:tr w:rsidR="00121568" w:rsidRPr="0036045D" w14:paraId="23DBEE27"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08C83E" w14:textId="3362D358" w:rsidR="00CD5468" w:rsidRPr="00A7595E" w:rsidRDefault="00CD5468" w:rsidP="00CD5468">
            <w:pPr>
              <w:rPr>
                <w:rFonts w:ascii="Times New Roman" w:hAnsi="Times New Roman"/>
                <w:sz w:val="24"/>
                <w:szCs w:val="24"/>
                <w:lang w:val="ro-RO"/>
              </w:rPr>
            </w:pPr>
            <w:r w:rsidRPr="00A7595E">
              <w:rPr>
                <w:rFonts w:ascii="Times New Roman" w:hAnsi="Times New Roman"/>
                <w:sz w:val="24"/>
                <w:szCs w:val="24"/>
                <w:lang w:val="ro-RO"/>
              </w:rPr>
              <w:t>Proiectul de hotărâre are ca prerogativă optimizarea structurii organizatorice și atribuțiilor funcționale ale ANSP, având multiple impacturi asupra sectorului public:</w:t>
            </w:r>
          </w:p>
          <w:p w14:paraId="5F540ACE" w14:textId="77777777" w:rsidR="00CD5468" w:rsidRPr="00A7595E" w:rsidRDefault="00CD5468" w:rsidP="00CD5468">
            <w:pPr>
              <w:ind w:firstLine="306"/>
              <w:rPr>
                <w:rFonts w:ascii="Times New Roman" w:hAnsi="Times New Roman"/>
                <w:sz w:val="24"/>
                <w:szCs w:val="24"/>
                <w:lang w:val="ro-RO"/>
              </w:rPr>
            </w:pPr>
            <w:r w:rsidRPr="00A7595E">
              <w:rPr>
                <w:rFonts w:ascii="Times New Roman" w:hAnsi="Times New Roman"/>
                <w:sz w:val="24"/>
                <w:szCs w:val="24"/>
                <w:lang w:val="ro-RO"/>
              </w:rPr>
              <w:t>1.</w:t>
            </w:r>
            <w:r w:rsidRPr="00A7595E">
              <w:rPr>
                <w:rFonts w:ascii="Times New Roman" w:hAnsi="Times New Roman"/>
                <w:sz w:val="24"/>
                <w:szCs w:val="24"/>
                <w:lang w:val="ro-RO"/>
              </w:rPr>
              <w:tab/>
            </w:r>
            <w:r w:rsidRPr="00A7595E">
              <w:rPr>
                <w:rFonts w:ascii="Times New Roman" w:hAnsi="Times New Roman"/>
                <w:b/>
                <w:bCs/>
                <w:sz w:val="24"/>
                <w:szCs w:val="24"/>
                <w:lang w:val="ro-RO"/>
              </w:rPr>
              <w:t xml:space="preserve">Cadrul normativ univoc </w:t>
            </w:r>
            <w:proofErr w:type="spellStart"/>
            <w:r w:rsidRPr="00A7595E">
              <w:rPr>
                <w:rFonts w:ascii="Times New Roman" w:hAnsi="Times New Roman"/>
                <w:b/>
                <w:bCs/>
                <w:sz w:val="24"/>
                <w:szCs w:val="24"/>
                <w:lang w:val="ro-RO"/>
              </w:rPr>
              <w:t>şi</w:t>
            </w:r>
            <w:proofErr w:type="spellEnd"/>
            <w:r w:rsidRPr="00A7595E">
              <w:rPr>
                <w:rFonts w:ascii="Times New Roman" w:hAnsi="Times New Roman"/>
                <w:b/>
                <w:bCs/>
                <w:sz w:val="24"/>
                <w:szCs w:val="24"/>
                <w:lang w:val="ro-RO"/>
              </w:rPr>
              <w:t xml:space="preserve"> coerent:</w:t>
            </w:r>
            <w:r w:rsidRPr="00A7595E">
              <w:rPr>
                <w:rFonts w:ascii="Times New Roman" w:hAnsi="Times New Roman"/>
                <w:sz w:val="24"/>
                <w:szCs w:val="24"/>
                <w:lang w:val="ro-RO"/>
              </w:rPr>
              <w:t xml:space="preserve"> Adoptarea acestui cadru normativ va aduce beneficii semnificative la nivel național și instituțional. Va asigura claritate și coerență în aplicarea regulilor și procedurilor în cadrul ANSP facilitând astfel procesul de implementare și administrare a politicilor și programelor de sănătate publică. Prin eliminarea ambiguităților și a discrepanțelor în interpretarea legilor și reglementărilor, ANSP va putea funcționa într-un mod mai eficient și mai transparent.</w:t>
            </w:r>
          </w:p>
          <w:p w14:paraId="362F5E7F" w14:textId="77777777" w:rsidR="00CD5468" w:rsidRPr="00A7595E" w:rsidRDefault="00CD5468" w:rsidP="00CD5468">
            <w:pPr>
              <w:ind w:firstLine="306"/>
              <w:rPr>
                <w:rFonts w:ascii="Times New Roman" w:hAnsi="Times New Roman"/>
                <w:sz w:val="24"/>
                <w:szCs w:val="24"/>
                <w:lang w:val="ro-RO"/>
              </w:rPr>
            </w:pPr>
            <w:r w:rsidRPr="00A7595E">
              <w:rPr>
                <w:rFonts w:ascii="Times New Roman" w:hAnsi="Times New Roman"/>
                <w:sz w:val="24"/>
                <w:szCs w:val="24"/>
                <w:lang w:val="ro-RO"/>
              </w:rPr>
              <w:t>2.</w:t>
            </w:r>
            <w:r w:rsidRPr="00A7595E">
              <w:rPr>
                <w:rFonts w:ascii="Times New Roman" w:hAnsi="Times New Roman"/>
                <w:sz w:val="24"/>
                <w:szCs w:val="24"/>
                <w:lang w:val="ro-RO"/>
              </w:rPr>
              <w:tab/>
            </w:r>
            <w:r w:rsidRPr="00A7595E">
              <w:rPr>
                <w:rFonts w:ascii="Times New Roman" w:hAnsi="Times New Roman"/>
                <w:b/>
                <w:bCs/>
                <w:sz w:val="24"/>
                <w:szCs w:val="24"/>
                <w:lang w:val="ro-RO"/>
              </w:rPr>
              <w:t>Optimizarea structurii și activității ANSP:</w:t>
            </w:r>
            <w:r w:rsidRPr="00A7595E">
              <w:rPr>
                <w:rFonts w:ascii="Times New Roman" w:hAnsi="Times New Roman"/>
                <w:sz w:val="24"/>
                <w:szCs w:val="24"/>
                <w:lang w:val="ro-RO"/>
              </w:rPr>
              <w:t xml:space="preserve"> Modificările propuse vor contribui la optimizarea activității și structurii ANSP, transformând-o într-o instituție mai eficientă în asigurarea sănătății populației și în gestionarea urgențelor în sănătate publică. Această optimizare va permite ANSP să ofere un răspuns mai rapid și mai eficient la nevoile și provocările din domeniul sănătății publice. Prin simplificarea și clarificarea funcțiilor și responsabilităților subdiviziunilor, ANSP va putea să-și desfășoare activitățile într-un mod mai coerent și mai eficient, cu o distribuire mai echitabilă a resurselor și competențelor.</w:t>
            </w:r>
          </w:p>
          <w:p w14:paraId="28DBFF79" w14:textId="524909EC" w:rsidR="00CD5468" w:rsidRPr="00A7595E" w:rsidRDefault="00CD5468" w:rsidP="00CD5468">
            <w:pPr>
              <w:ind w:firstLine="306"/>
              <w:rPr>
                <w:rFonts w:ascii="Times New Roman" w:hAnsi="Times New Roman"/>
                <w:sz w:val="24"/>
                <w:szCs w:val="24"/>
                <w:lang w:val="ro-RO"/>
              </w:rPr>
            </w:pPr>
            <w:r w:rsidRPr="00A7595E">
              <w:rPr>
                <w:rFonts w:ascii="Times New Roman" w:hAnsi="Times New Roman"/>
                <w:sz w:val="24"/>
                <w:szCs w:val="24"/>
                <w:lang w:val="ro-RO"/>
              </w:rPr>
              <w:t>3.</w:t>
            </w:r>
            <w:r w:rsidRPr="00A7595E">
              <w:rPr>
                <w:rFonts w:ascii="Times New Roman" w:hAnsi="Times New Roman"/>
                <w:sz w:val="24"/>
                <w:szCs w:val="24"/>
                <w:lang w:val="ro-RO"/>
              </w:rPr>
              <w:tab/>
            </w:r>
            <w:r w:rsidRPr="00A7595E">
              <w:rPr>
                <w:rFonts w:ascii="Times New Roman" w:hAnsi="Times New Roman"/>
                <w:b/>
                <w:bCs/>
                <w:sz w:val="24"/>
                <w:szCs w:val="24"/>
                <w:lang w:val="ro-RO"/>
              </w:rPr>
              <w:t>Consolidarea capacității de monitorizare și evaluare a stării de sănătate a populației:</w:t>
            </w:r>
            <w:r w:rsidRPr="00A7595E">
              <w:rPr>
                <w:rFonts w:ascii="Times New Roman" w:hAnsi="Times New Roman"/>
                <w:sz w:val="24"/>
                <w:szCs w:val="24"/>
                <w:lang w:val="ro-RO"/>
              </w:rPr>
              <w:t xml:space="preserve"> Prin redistribuirea activităților de analiză, planificare și integrare a serviciilor și resurselor în sănătate, precum și de menținere și gestionare a bazei naționale de date statistice în sănătate, ANSP își va consolida capacitatea de a monitoriza și evalua starea de sănătate a populației. Acest lucru va facilita adoptarea unor politici și strategii mai eficiente în domeniul sănătății publice, contribuind astfel la îmbunătățirea sănătății și bunăstării populației.</w:t>
            </w:r>
          </w:p>
          <w:p w14:paraId="27942FEE" w14:textId="3E733883" w:rsidR="00D82AB4" w:rsidRDefault="00CD5468" w:rsidP="00D82AB4">
            <w:pPr>
              <w:ind w:firstLine="381"/>
              <w:rPr>
                <w:rFonts w:ascii="Times New Roman" w:hAnsi="Times New Roman"/>
                <w:sz w:val="24"/>
                <w:szCs w:val="24"/>
                <w:lang w:val="ro-RO"/>
              </w:rPr>
            </w:pPr>
            <w:r w:rsidRPr="00A7595E">
              <w:rPr>
                <w:rFonts w:ascii="Times New Roman" w:hAnsi="Times New Roman"/>
                <w:sz w:val="24"/>
                <w:szCs w:val="24"/>
                <w:lang w:val="ro-RO"/>
              </w:rPr>
              <w:t>4.</w:t>
            </w:r>
            <w:r w:rsidRPr="00A7595E">
              <w:rPr>
                <w:rFonts w:ascii="Times New Roman" w:hAnsi="Times New Roman"/>
                <w:sz w:val="24"/>
                <w:szCs w:val="24"/>
                <w:lang w:val="ro-RO"/>
              </w:rPr>
              <w:tab/>
            </w:r>
            <w:r w:rsidR="00F72370" w:rsidRPr="00A7595E">
              <w:rPr>
                <w:rFonts w:ascii="Times New Roman" w:hAnsi="Times New Roman"/>
                <w:b/>
                <w:bCs/>
                <w:sz w:val="24"/>
                <w:szCs w:val="24"/>
                <w:lang w:val="ro-RO"/>
              </w:rPr>
              <w:t>Creșterea</w:t>
            </w:r>
            <w:r w:rsidRPr="00A7595E">
              <w:rPr>
                <w:rFonts w:ascii="Times New Roman" w:hAnsi="Times New Roman"/>
                <w:b/>
                <w:bCs/>
                <w:sz w:val="24"/>
                <w:szCs w:val="24"/>
                <w:lang w:val="ro-RO"/>
              </w:rPr>
              <w:t xml:space="preserve"> capacității ANSP de a gestiona urgențele în sănătate publică: </w:t>
            </w:r>
            <w:r w:rsidRPr="00A7595E">
              <w:rPr>
                <w:rFonts w:ascii="Times New Roman" w:hAnsi="Times New Roman"/>
                <w:sz w:val="24"/>
                <w:szCs w:val="24"/>
                <w:lang w:val="ro-RO"/>
              </w:rPr>
              <w:t>ANSP va deveni mai eficientă în identificarea, monitorizarea și gestionarea situațiilor de urgență în domeniul sănătății publice. Aceasta înseamnă că ANSP va fi mai bine pregătită să facă față unor evenimente precum epidemii, pandemii, dezastre naturale sau alte amenințări la adresa sănătății publice. Consolidarea capacităților de a gestiona urgențele, va face ca ANSP să poată răspunde mai rapid și mai eficient la astfel de situații, asigurând o coordonare mai bună între diferitele subdiviziuni și parteneri implicați. De asemenea, va putea să ofere mai mult sprijin și asistență comunităților afectate, să furnizeze informații relevante și să implementeze măsuri preventive sau de intervenție în mod prompt. Ca rezultat, se va contribui la protejarea și îmbunătățirea sănătății publice în ansamblu, reducând impactul negativ al urgențelor asupra populației și asigurând o gestionare eficientă a situațiilor de criză în domeniul sănătății publice.</w:t>
            </w:r>
            <w:r w:rsidR="00D82AB4" w:rsidRPr="00A7595E">
              <w:rPr>
                <w:rFonts w:ascii="Times New Roman" w:hAnsi="Times New Roman"/>
                <w:sz w:val="24"/>
                <w:szCs w:val="24"/>
                <w:lang w:val="ro-RO"/>
              </w:rPr>
              <w:t xml:space="preserve"> </w:t>
            </w:r>
          </w:p>
          <w:p w14:paraId="193BBD5A" w14:textId="4EC5E415" w:rsidR="00121568" w:rsidRPr="00A7595E" w:rsidRDefault="00D82AB4" w:rsidP="00D82AB4">
            <w:pPr>
              <w:ind w:firstLine="306"/>
              <w:rPr>
                <w:rFonts w:ascii="Times New Roman" w:hAnsi="Times New Roman"/>
                <w:sz w:val="24"/>
                <w:szCs w:val="24"/>
                <w:lang w:val="ro-RO"/>
              </w:rPr>
            </w:pPr>
            <w:r w:rsidRPr="00A7595E">
              <w:rPr>
                <w:rFonts w:ascii="Times New Roman" w:hAnsi="Times New Roman"/>
                <w:sz w:val="24"/>
                <w:szCs w:val="24"/>
                <w:lang w:val="ro-RO"/>
              </w:rPr>
              <w:t xml:space="preserve"> </w:t>
            </w:r>
          </w:p>
        </w:tc>
      </w:tr>
      <w:tr w:rsidR="00B159B4" w:rsidRPr="0036045D" w14:paraId="725AC128"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3F9599" w14:textId="77777777" w:rsidR="00B159B4" w:rsidRPr="00A7595E" w:rsidRDefault="00000000">
            <w:pPr>
              <w:rPr>
                <w:rFonts w:ascii="Times New Roman" w:hAnsi="Times New Roman"/>
                <w:sz w:val="24"/>
                <w:szCs w:val="24"/>
                <w:lang w:val="ro-RO"/>
              </w:rPr>
            </w:pPr>
            <w:r w:rsidRPr="00A7595E">
              <w:rPr>
                <w:rFonts w:ascii="Times New Roman" w:hAnsi="Times New Roman"/>
                <w:sz w:val="24"/>
                <w:szCs w:val="24"/>
                <w:lang w:val="ro-RO"/>
              </w:rPr>
              <w:t>4.2. Impactul financiar și argumentarea costurilor estimative</w:t>
            </w:r>
          </w:p>
        </w:tc>
      </w:tr>
      <w:tr w:rsidR="00B867EB" w:rsidRPr="0036045D" w14:paraId="259D6260"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AA3317" w14:textId="0C4B3288" w:rsidR="00D82AB4" w:rsidRPr="00D82AB4" w:rsidRDefault="00D82AB4" w:rsidP="00D82AB4">
            <w:pPr>
              <w:rPr>
                <w:rFonts w:ascii="Times New Roman" w:hAnsi="Times New Roman"/>
                <w:sz w:val="24"/>
                <w:szCs w:val="24"/>
                <w:lang w:val="ro-RO"/>
              </w:rPr>
            </w:pPr>
            <w:r w:rsidRPr="00D82AB4">
              <w:rPr>
                <w:rFonts w:ascii="Times New Roman" w:hAnsi="Times New Roman"/>
                <w:sz w:val="24"/>
                <w:szCs w:val="24"/>
                <w:lang w:val="ro-RO"/>
              </w:rPr>
              <w:t xml:space="preserve">Implementarea proiectului hotărârii de guvern nu necesită alocarea unor mijloace financiare suplimentare din bugetul de stat. </w:t>
            </w:r>
          </w:p>
          <w:p w14:paraId="5D4EA1D8" w14:textId="361790B9" w:rsidR="00F72370" w:rsidRPr="00A7595E" w:rsidRDefault="00F72370" w:rsidP="00F72370">
            <w:pPr>
              <w:ind w:firstLine="381"/>
              <w:rPr>
                <w:rFonts w:ascii="Times New Roman" w:hAnsi="Times New Roman"/>
                <w:sz w:val="24"/>
                <w:szCs w:val="24"/>
                <w:lang w:val="ro-RO"/>
              </w:rPr>
            </w:pPr>
            <w:r>
              <w:rPr>
                <w:rFonts w:ascii="Times New Roman" w:hAnsi="Times New Roman"/>
                <w:sz w:val="24"/>
                <w:szCs w:val="24"/>
                <w:lang w:val="ro-RO"/>
              </w:rPr>
              <w:t>Totodată, î</w:t>
            </w:r>
            <w:r w:rsidRPr="00A7595E">
              <w:rPr>
                <w:rFonts w:ascii="Times New Roman" w:hAnsi="Times New Roman"/>
                <w:sz w:val="24"/>
                <w:szCs w:val="24"/>
                <w:lang w:val="ro-RO"/>
              </w:rPr>
              <w:t xml:space="preserve">n contextul schimbărilor continue din domeniul sănătății publice, modificările propuse în structura organizațională a ANSP sunt esențiale pentru îmbunătățirea eficienței și funcționării adecvate a organizației. Aceste modificări vor consolida funcționarea ANSP și vor contribui la atingerea obiectivelor stabilite în domeniul sănătății publice. Optimizarea resurselor, încurajarea inovării și transferului de cunoștințe și crearea unei structuri organizaționale mai flexibile și adaptabile sunt doar câteva dintre beneficiile pe care le va aduce implementarea acestor modificări. Prin urmare, este imperativ să avansăm cu aceste </w:t>
            </w:r>
            <w:r w:rsidRPr="00A7595E">
              <w:rPr>
                <w:rFonts w:ascii="Times New Roman" w:hAnsi="Times New Roman"/>
                <w:sz w:val="24"/>
                <w:szCs w:val="24"/>
                <w:lang w:val="ro-RO"/>
              </w:rPr>
              <w:lastRenderedPageBreak/>
              <w:t xml:space="preserve">schimbări pentru a asigura o mai bună gestionare a resurselor umane, o eficiență crescută și o abordare mai eficientă a problemelor de sănătate publică. </w:t>
            </w:r>
          </w:p>
          <w:p w14:paraId="03D523F4" w14:textId="77777777" w:rsidR="00F72370" w:rsidRPr="00A7595E" w:rsidRDefault="00F72370" w:rsidP="00F72370">
            <w:pPr>
              <w:ind w:firstLine="381"/>
              <w:rPr>
                <w:rFonts w:ascii="Times New Roman" w:hAnsi="Times New Roman"/>
                <w:sz w:val="24"/>
                <w:szCs w:val="24"/>
                <w:lang w:val="ro-RO"/>
              </w:rPr>
            </w:pPr>
            <w:r w:rsidRPr="00A7595E">
              <w:rPr>
                <w:rFonts w:ascii="Times New Roman" w:hAnsi="Times New Roman"/>
                <w:sz w:val="24"/>
                <w:szCs w:val="24"/>
                <w:lang w:val="ro-RO"/>
              </w:rPr>
              <w:t>Informația detaliată privind numărul unităților în comparație pe subdiviziuni până la și după modificarea structurii organizatorice, se prezintă în tabelul dat:</w:t>
            </w:r>
          </w:p>
          <w:tbl>
            <w:tblPr>
              <w:tblW w:w="8104" w:type="dxa"/>
              <w:jc w:val="center"/>
              <w:tblLook w:val="04A0" w:firstRow="1" w:lastRow="0" w:firstColumn="1" w:lastColumn="0" w:noHBand="0" w:noVBand="1"/>
            </w:tblPr>
            <w:tblGrid>
              <w:gridCol w:w="3118"/>
              <w:gridCol w:w="2126"/>
              <w:gridCol w:w="2860"/>
            </w:tblGrid>
            <w:tr w:rsidR="00F72370" w:rsidRPr="0036045D" w14:paraId="48F62046" w14:textId="77777777" w:rsidTr="003C066C">
              <w:trPr>
                <w:trHeight w:val="568"/>
                <w:jc w:val="center"/>
              </w:trPr>
              <w:tc>
                <w:tcPr>
                  <w:tcW w:w="8104" w:type="dxa"/>
                  <w:gridSpan w:val="3"/>
                  <w:tcBorders>
                    <w:top w:val="nil"/>
                    <w:left w:val="nil"/>
                    <w:bottom w:val="single" w:sz="4" w:space="0" w:color="auto"/>
                    <w:right w:val="nil"/>
                  </w:tcBorders>
                  <w:shd w:val="clear" w:color="auto" w:fill="auto"/>
                  <w:vAlign w:val="bottom"/>
                  <w:hideMark/>
                </w:tcPr>
                <w:p w14:paraId="3E9694D5" w14:textId="77777777" w:rsidR="001B0744" w:rsidRDefault="001B0744" w:rsidP="001B0744">
                  <w:pPr>
                    <w:ind w:firstLine="0"/>
                    <w:jc w:val="center"/>
                    <w:rPr>
                      <w:b/>
                      <w:bCs/>
                      <w:sz w:val="24"/>
                      <w:szCs w:val="24"/>
                      <w:lang w:val="ro-RO" w:eastAsia="ru-RU"/>
                    </w:rPr>
                  </w:pPr>
                </w:p>
                <w:p w14:paraId="22D10D40" w14:textId="0BC27887" w:rsidR="00F72370" w:rsidRPr="001B0744" w:rsidRDefault="00F72370" w:rsidP="001B0744">
                  <w:pPr>
                    <w:ind w:firstLine="0"/>
                    <w:jc w:val="center"/>
                    <w:rPr>
                      <w:b/>
                      <w:bCs/>
                      <w:sz w:val="24"/>
                      <w:szCs w:val="24"/>
                      <w:lang w:val="ro-RO" w:eastAsia="ru-RU"/>
                    </w:rPr>
                  </w:pPr>
                  <w:r w:rsidRPr="001B0744">
                    <w:rPr>
                      <w:b/>
                      <w:bCs/>
                      <w:sz w:val="24"/>
                      <w:szCs w:val="24"/>
                      <w:lang w:val="ro-RO" w:eastAsia="ru-RU"/>
                    </w:rPr>
                    <w:t>Numărul unităților în comparație pe subdiviziuni până la și după modificarea structurii organizatorice</w:t>
                  </w:r>
                </w:p>
              </w:tc>
            </w:tr>
            <w:tr w:rsidR="00F72370" w:rsidRPr="0036045D" w14:paraId="1677938F" w14:textId="77777777" w:rsidTr="003C066C">
              <w:trPr>
                <w:trHeight w:val="203"/>
                <w:jc w:val="center"/>
              </w:trPr>
              <w:tc>
                <w:tcPr>
                  <w:tcW w:w="3118" w:type="dxa"/>
                  <w:vMerge w:val="restart"/>
                  <w:tcBorders>
                    <w:top w:val="single" w:sz="4" w:space="0" w:color="auto"/>
                    <w:left w:val="single" w:sz="4" w:space="0" w:color="auto"/>
                    <w:right w:val="single" w:sz="4" w:space="0" w:color="auto"/>
                  </w:tcBorders>
                  <w:shd w:val="clear" w:color="auto" w:fill="auto"/>
                  <w:noWrap/>
                  <w:vAlign w:val="bottom"/>
                  <w:hideMark/>
                </w:tcPr>
                <w:p w14:paraId="2540F6F9" w14:textId="77777777" w:rsidR="00F72370" w:rsidRPr="00A7595E" w:rsidRDefault="00F72370" w:rsidP="00F72370">
                  <w:pPr>
                    <w:spacing w:after="120"/>
                    <w:ind w:firstLine="58"/>
                    <w:jc w:val="center"/>
                    <w:rPr>
                      <w:b/>
                      <w:bCs/>
                      <w:sz w:val="24"/>
                      <w:szCs w:val="24"/>
                      <w:lang w:val="ro-RO" w:eastAsia="ru-RU"/>
                    </w:rPr>
                  </w:pPr>
                  <w:r w:rsidRPr="00A7595E">
                    <w:rPr>
                      <w:b/>
                      <w:bCs/>
                      <w:sz w:val="24"/>
                      <w:szCs w:val="24"/>
                      <w:lang w:val="ro-RO" w:eastAsia="ru-RU"/>
                    </w:rPr>
                    <w:t xml:space="preserve">Denumirea subdiviziunii  </w:t>
                  </w:r>
                </w:p>
                <w:p w14:paraId="484F6441" w14:textId="77777777" w:rsidR="00F72370" w:rsidRPr="00A7595E" w:rsidRDefault="00F72370" w:rsidP="00F72370">
                  <w:pPr>
                    <w:ind w:firstLine="60"/>
                    <w:jc w:val="center"/>
                    <w:rPr>
                      <w:b/>
                      <w:bCs/>
                      <w:sz w:val="24"/>
                      <w:szCs w:val="24"/>
                      <w:lang w:val="ro-RO" w:eastAsia="ru-RU"/>
                    </w:rPr>
                  </w:pPr>
                </w:p>
              </w:tc>
              <w:tc>
                <w:tcPr>
                  <w:tcW w:w="2126" w:type="dxa"/>
                  <w:tcBorders>
                    <w:top w:val="single" w:sz="4" w:space="0" w:color="auto"/>
                    <w:left w:val="nil"/>
                    <w:bottom w:val="single" w:sz="4" w:space="0" w:color="auto"/>
                    <w:right w:val="nil"/>
                  </w:tcBorders>
                  <w:shd w:val="clear" w:color="auto" w:fill="auto"/>
                  <w:noWrap/>
                  <w:vAlign w:val="bottom"/>
                  <w:hideMark/>
                </w:tcPr>
                <w:p w14:paraId="28C5FB7D" w14:textId="77777777" w:rsidR="00F72370" w:rsidRPr="00A7595E" w:rsidRDefault="00F72370" w:rsidP="00F72370">
                  <w:pPr>
                    <w:ind w:firstLine="0"/>
                    <w:jc w:val="center"/>
                    <w:rPr>
                      <w:b/>
                      <w:bCs/>
                      <w:sz w:val="24"/>
                      <w:szCs w:val="24"/>
                      <w:lang w:val="ro-RO" w:eastAsia="ru-RU"/>
                    </w:rPr>
                  </w:pPr>
                  <w:r w:rsidRPr="00A7595E">
                    <w:rPr>
                      <w:b/>
                      <w:bCs/>
                      <w:sz w:val="24"/>
                      <w:szCs w:val="24"/>
                      <w:lang w:val="ro-RO" w:eastAsia="ru-RU"/>
                    </w:rPr>
                    <w:t>P</w:t>
                  </w:r>
                  <w:r>
                    <w:rPr>
                      <w:b/>
                      <w:bCs/>
                      <w:sz w:val="24"/>
                      <w:szCs w:val="24"/>
                      <w:lang w:val="ro-RO" w:eastAsia="ru-RU"/>
                    </w:rPr>
                    <w:t>â</w:t>
                  </w:r>
                  <w:r w:rsidRPr="00A7595E">
                    <w:rPr>
                      <w:b/>
                      <w:bCs/>
                      <w:sz w:val="24"/>
                      <w:szCs w:val="24"/>
                      <w:lang w:val="ro-RO" w:eastAsia="ru-RU"/>
                    </w:rPr>
                    <w:t>nă la restructurare</w:t>
                  </w:r>
                </w:p>
              </w:tc>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B723" w14:textId="77777777" w:rsidR="00F72370" w:rsidRPr="00A7595E" w:rsidRDefault="00F72370" w:rsidP="00F72370">
                  <w:pPr>
                    <w:ind w:firstLine="0"/>
                    <w:jc w:val="center"/>
                    <w:rPr>
                      <w:b/>
                      <w:bCs/>
                      <w:sz w:val="24"/>
                      <w:szCs w:val="24"/>
                      <w:lang w:val="ro-RO" w:eastAsia="ru-RU"/>
                    </w:rPr>
                  </w:pPr>
                  <w:r w:rsidRPr="00A7595E">
                    <w:rPr>
                      <w:b/>
                      <w:bCs/>
                      <w:sz w:val="24"/>
                      <w:szCs w:val="24"/>
                      <w:lang w:val="ro-RO" w:eastAsia="ru-RU"/>
                    </w:rPr>
                    <w:t>După restructurare</w:t>
                  </w:r>
                </w:p>
              </w:tc>
            </w:tr>
            <w:tr w:rsidR="00F72370" w:rsidRPr="0036045D" w14:paraId="1D11E7A1" w14:textId="77777777" w:rsidTr="003C066C">
              <w:trPr>
                <w:trHeight w:val="317"/>
                <w:jc w:val="center"/>
              </w:trPr>
              <w:tc>
                <w:tcPr>
                  <w:tcW w:w="3118" w:type="dxa"/>
                  <w:vMerge/>
                  <w:tcBorders>
                    <w:left w:val="single" w:sz="4" w:space="0" w:color="auto"/>
                    <w:bottom w:val="single" w:sz="4" w:space="0" w:color="auto"/>
                    <w:right w:val="single" w:sz="4" w:space="0" w:color="auto"/>
                  </w:tcBorders>
                  <w:shd w:val="clear" w:color="auto" w:fill="auto"/>
                  <w:vAlign w:val="bottom"/>
                  <w:hideMark/>
                </w:tcPr>
                <w:p w14:paraId="04648043" w14:textId="77777777" w:rsidR="00F72370" w:rsidRPr="00A7595E" w:rsidRDefault="00F72370" w:rsidP="00F72370">
                  <w:pPr>
                    <w:ind w:firstLine="0"/>
                    <w:jc w:val="left"/>
                    <w:rPr>
                      <w:sz w:val="24"/>
                      <w:szCs w:val="24"/>
                      <w:lang w:val="ro-RO" w:eastAsia="ru-RU"/>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E993D5E" w14:textId="77777777" w:rsidR="00F72370" w:rsidRPr="00A7595E" w:rsidRDefault="00F72370" w:rsidP="00F72370">
                  <w:pPr>
                    <w:ind w:firstLine="0"/>
                    <w:jc w:val="center"/>
                    <w:rPr>
                      <w:sz w:val="24"/>
                      <w:szCs w:val="24"/>
                      <w:lang w:val="ro-RO" w:eastAsia="ru-RU"/>
                    </w:rPr>
                  </w:pPr>
                  <w:r w:rsidRPr="00A7595E">
                    <w:rPr>
                      <w:sz w:val="24"/>
                      <w:szCs w:val="24"/>
                      <w:lang w:val="ro-RO" w:eastAsia="ru-RU"/>
                    </w:rPr>
                    <w:t>nr. unități</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77D40D5F" w14:textId="77777777" w:rsidR="00F72370" w:rsidRPr="00A7595E" w:rsidRDefault="00F72370" w:rsidP="00F72370">
                  <w:pPr>
                    <w:ind w:firstLine="0"/>
                    <w:jc w:val="center"/>
                    <w:rPr>
                      <w:sz w:val="24"/>
                      <w:szCs w:val="24"/>
                      <w:lang w:val="ro-RO" w:eastAsia="ru-RU"/>
                    </w:rPr>
                  </w:pPr>
                  <w:r w:rsidRPr="00A7595E">
                    <w:rPr>
                      <w:sz w:val="24"/>
                      <w:szCs w:val="24"/>
                      <w:lang w:val="ro-RO" w:eastAsia="ru-RU"/>
                    </w:rPr>
                    <w:t>nr. unități</w:t>
                  </w:r>
                </w:p>
              </w:tc>
            </w:tr>
            <w:tr w:rsidR="00F72370" w:rsidRPr="0036045D" w14:paraId="7568B0EE"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FD78A" w14:textId="77777777" w:rsidR="00F72370" w:rsidRPr="00A7595E" w:rsidRDefault="00F72370" w:rsidP="00F72370">
                  <w:pPr>
                    <w:ind w:firstLine="0"/>
                    <w:jc w:val="left"/>
                    <w:rPr>
                      <w:sz w:val="24"/>
                      <w:szCs w:val="24"/>
                      <w:lang w:val="ro-RO" w:eastAsia="ru-RU"/>
                    </w:rPr>
                  </w:pPr>
                  <w:r w:rsidRPr="00A7595E">
                    <w:rPr>
                      <w:sz w:val="24"/>
                      <w:szCs w:val="24"/>
                      <w:lang w:val="ro-RO" w:eastAsia="ru-RU"/>
                    </w:rPr>
                    <w:t>Sediul Central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62CB0FB" w14:textId="77777777" w:rsidR="00F72370" w:rsidRPr="00A7595E" w:rsidRDefault="00F72370" w:rsidP="00F72370">
                  <w:pPr>
                    <w:ind w:firstLine="0"/>
                    <w:jc w:val="center"/>
                    <w:rPr>
                      <w:sz w:val="24"/>
                      <w:szCs w:val="24"/>
                      <w:lang w:val="ro-RO" w:eastAsia="ru-RU"/>
                    </w:rPr>
                  </w:pPr>
                  <w:r w:rsidRPr="00A7595E">
                    <w:rPr>
                      <w:sz w:val="24"/>
                      <w:szCs w:val="24"/>
                      <w:lang w:val="ro-RO" w:eastAsia="ru-RU"/>
                    </w:rPr>
                    <w:t>428</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0B8E83F3" w14:textId="77777777" w:rsidR="00F72370" w:rsidRPr="00A7595E" w:rsidRDefault="00F72370" w:rsidP="00F72370">
                  <w:pPr>
                    <w:ind w:firstLine="0"/>
                    <w:jc w:val="center"/>
                    <w:rPr>
                      <w:sz w:val="24"/>
                      <w:szCs w:val="24"/>
                      <w:lang w:val="ro-RO" w:eastAsia="ru-RU"/>
                    </w:rPr>
                  </w:pPr>
                  <w:r w:rsidRPr="00A7595E">
                    <w:rPr>
                      <w:sz w:val="24"/>
                      <w:szCs w:val="24"/>
                      <w:lang w:val="ro-RO" w:eastAsia="ru-RU"/>
                    </w:rPr>
                    <w:t>503</w:t>
                  </w:r>
                </w:p>
              </w:tc>
            </w:tr>
            <w:tr w:rsidR="00F72370" w:rsidRPr="0036045D" w14:paraId="4865097C"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88861"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Chișinău</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B74DD0F" w14:textId="77777777" w:rsidR="00F72370" w:rsidRPr="00A7595E" w:rsidRDefault="00F72370" w:rsidP="00F72370">
                  <w:pPr>
                    <w:ind w:firstLine="0"/>
                    <w:jc w:val="center"/>
                    <w:rPr>
                      <w:sz w:val="24"/>
                      <w:szCs w:val="24"/>
                      <w:lang w:val="ro-RO" w:eastAsia="ru-RU"/>
                    </w:rPr>
                  </w:pPr>
                  <w:r w:rsidRPr="00A7595E">
                    <w:rPr>
                      <w:sz w:val="24"/>
                      <w:szCs w:val="24"/>
                      <w:lang w:val="ro-RO" w:eastAsia="ru-RU"/>
                    </w:rPr>
                    <w:t>295</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4D5170E6" w14:textId="77777777" w:rsidR="00F72370" w:rsidRPr="00A7595E" w:rsidRDefault="00F72370" w:rsidP="00F72370">
                  <w:pPr>
                    <w:ind w:firstLine="0"/>
                    <w:jc w:val="center"/>
                    <w:rPr>
                      <w:sz w:val="24"/>
                      <w:szCs w:val="24"/>
                      <w:lang w:val="ro-RO" w:eastAsia="ru-RU"/>
                    </w:rPr>
                  </w:pPr>
                  <w:r w:rsidRPr="00A7595E">
                    <w:rPr>
                      <w:sz w:val="24"/>
                      <w:szCs w:val="24"/>
                      <w:lang w:val="ro-RO" w:eastAsia="ru-RU"/>
                    </w:rPr>
                    <w:t>246</w:t>
                  </w:r>
                </w:p>
              </w:tc>
            </w:tr>
            <w:tr w:rsidR="00F72370" w:rsidRPr="0036045D" w14:paraId="0154F103"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9C365"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Bălți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839E25E" w14:textId="77777777" w:rsidR="00F72370" w:rsidRPr="00A7595E" w:rsidRDefault="00F72370" w:rsidP="00F72370">
                  <w:pPr>
                    <w:ind w:firstLine="0"/>
                    <w:jc w:val="center"/>
                    <w:rPr>
                      <w:sz w:val="24"/>
                      <w:szCs w:val="24"/>
                      <w:lang w:val="ro-RO" w:eastAsia="ru-RU"/>
                    </w:rPr>
                  </w:pPr>
                  <w:r w:rsidRPr="00A7595E">
                    <w:rPr>
                      <w:sz w:val="24"/>
                      <w:szCs w:val="24"/>
                      <w:lang w:val="ro-RO" w:eastAsia="ru-RU"/>
                    </w:rPr>
                    <w:t>141</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6FAE0078" w14:textId="77777777" w:rsidR="00F72370" w:rsidRPr="00A7595E" w:rsidRDefault="00F72370" w:rsidP="00F72370">
                  <w:pPr>
                    <w:ind w:firstLine="0"/>
                    <w:jc w:val="center"/>
                    <w:rPr>
                      <w:sz w:val="24"/>
                      <w:szCs w:val="24"/>
                      <w:lang w:val="ro-RO" w:eastAsia="ru-RU"/>
                    </w:rPr>
                  </w:pPr>
                  <w:r w:rsidRPr="00A7595E">
                    <w:rPr>
                      <w:sz w:val="24"/>
                      <w:szCs w:val="24"/>
                      <w:lang w:val="ro-RO" w:eastAsia="ru-RU"/>
                    </w:rPr>
                    <w:t>129</w:t>
                  </w:r>
                </w:p>
              </w:tc>
            </w:tr>
            <w:tr w:rsidR="00F72370" w:rsidRPr="0036045D" w14:paraId="32115B93"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EA57B" w14:textId="77777777" w:rsidR="00F72370" w:rsidRPr="00A7595E" w:rsidRDefault="00F72370" w:rsidP="00F72370">
                  <w:pPr>
                    <w:ind w:firstLine="0"/>
                    <w:jc w:val="left"/>
                    <w:rPr>
                      <w:sz w:val="24"/>
                      <w:szCs w:val="24"/>
                      <w:lang w:val="ro-RO" w:eastAsia="ru-RU"/>
                    </w:rPr>
                  </w:pPr>
                  <w:r w:rsidRPr="00A7595E">
                    <w:rPr>
                      <w:sz w:val="24"/>
                      <w:szCs w:val="24"/>
                      <w:lang w:val="ro-RO" w:eastAsia="ru-RU"/>
                    </w:rPr>
                    <w:t xml:space="preserve">CSP </w:t>
                  </w:r>
                  <w:proofErr w:type="spellStart"/>
                  <w:r w:rsidRPr="00A7595E">
                    <w:rPr>
                      <w:sz w:val="24"/>
                      <w:szCs w:val="24"/>
                      <w:lang w:val="ro-RO" w:eastAsia="ru-RU"/>
                    </w:rPr>
                    <w:t>Edineț</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10F2BA9" w14:textId="77777777" w:rsidR="00F72370" w:rsidRPr="00A7595E" w:rsidRDefault="00F72370" w:rsidP="00F72370">
                  <w:pPr>
                    <w:ind w:firstLine="0"/>
                    <w:jc w:val="center"/>
                    <w:rPr>
                      <w:sz w:val="24"/>
                      <w:szCs w:val="24"/>
                      <w:lang w:val="ro-RO" w:eastAsia="ru-RU"/>
                    </w:rPr>
                  </w:pPr>
                  <w:r w:rsidRPr="00A7595E">
                    <w:rPr>
                      <w:sz w:val="24"/>
                      <w:szCs w:val="24"/>
                      <w:lang w:val="ro-RO" w:eastAsia="ru-RU"/>
                    </w:rPr>
                    <w:t>94</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6E0ADEC7" w14:textId="77777777" w:rsidR="00F72370" w:rsidRPr="00A7595E" w:rsidRDefault="00F72370" w:rsidP="00F72370">
                  <w:pPr>
                    <w:ind w:firstLine="0"/>
                    <w:jc w:val="center"/>
                    <w:rPr>
                      <w:sz w:val="24"/>
                      <w:szCs w:val="24"/>
                      <w:lang w:val="ro-RO" w:eastAsia="ru-RU"/>
                    </w:rPr>
                  </w:pPr>
                  <w:r w:rsidRPr="00A7595E">
                    <w:rPr>
                      <w:sz w:val="24"/>
                      <w:szCs w:val="24"/>
                      <w:lang w:val="ro-RO" w:eastAsia="ru-RU"/>
                    </w:rPr>
                    <w:t>91</w:t>
                  </w:r>
                </w:p>
              </w:tc>
            </w:tr>
            <w:tr w:rsidR="00F72370" w:rsidRPr="0036045D" w14:paraId="443A5B27"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2E3CD"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Soroca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71A21AA" w14:textId="77777777" w:rsidR="00F72370" w:rsidRPr="00A7595E" w:rsidRDefault="00F72370" w:rsidP="00F72370">
                  <w:pPr>
                    <w:ind w:firstLine="0"/>
                    <w:jc w:val="center"/>
                    <w:rPr>
                      <w:sz w:val="24"/>
                      <w:szCs w:val="24"/>
                      <w:lang w:val="ro-RO" w:eastAsia="ru-RU"/>
                    </w:rPr>
                  </w:pPr>
                  <w:r w:rsidRPr="00A7595E">
                    <w:rPr>
                      <w:sz w:val="24"/>
                      <w:szCs w:val="24"/>
                      <w:lang w:val="ro-RO" w:eastAsia="ru-RU"/>
                    </w:rPr>
                    <w:t>88</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308A49B4" w14:textId="77777777" w:rsidR="00F72370" w:rsidRPr="00A7595E" w:rsidRDefault="00F72370" w:rsidP="00F72370">
                  <w:pPr>
                    <w:ind w:firstLine="0"/>
                    <w:jc w:val="center"/>
                    <w:rPr>
                      <w:sz w:val="24"/>
                      <w:szCs w:val="24"/>
                      <w:lang w:val="ro-RO" w:eastAsia="ru-RU"/>
                    </w:rPr>
                  </w:pPr>
                  <w:r w:rsidRPr="00A7595E">
                    <w:rPr>
                      <w:sz w:val="24"/>
                      <w:szCs w:val="24"/>
                      <w:lang w:val="ro-RO" w:eastAsia="ru-RU"/>
                    </w:rPr>
                    <w:t>85</w:t>
                  </w:r>
                </w:p>
              </w:tc>
            </w:tr>
            <w:tr w:rsidR="00F72370" w:rsidRPr="0036045D" w14:paraId="7CD6E341"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7BC11"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Ungheni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28683EF" w14:textId="77777777" w:rsidR="00F72370" w:rsidRPr="00A7595E" w:rsidRDefault="00F72370" w:rsidP="00F72370">
                  <w:pPr>
                    <w:ind w:firstLine="0"/>
                    <w:jc w:val="center"/>
                    <w:rPr>
                      <w:sz w:val="24"/>
                      <w:szCs w:val="24"/>
                      <w:lang w:val="ro-RO" w:eastAsia="ru-RU"/>
                    </w:rPr>
                  </w:pPr>
                  <w:r w:rsidRPr="00A7595E">
                    <w:rPr>
                      <w:sz w:val="24"/>
                      <w:szCs w:val="24"/>
                      <w:lang w:val="ro-RO" w:eastAsia="ru-RU"/>
                    </w:rPr>
                    <w:t>88</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3D8044A9" w14:textId="77777777" w:rsidR="00F72370" w:rsidRPr="00A7595E" w:rsidRDefault="00F72370" w:rsidP="00F72370">
                  <w:pPr>
                    <w:ind w:firstLine="0"/>
                    <w:jc w:val="center"/>
                    <w:rPr>
                      <w:sz w:val="24"/>
                      <w:szCs w:val="24"/>
                      <w:lang w:val="ro-RO" w:eastAsia="ru-RU"/>
                    </w:rPr>
                  </w:pPr>
                  <w:r w:rsidRPr="00A7595E">
                    <w:rPr>
                      <w:sz w:val="24"/>
                      <w:szCs w:val="24"/>
                      <w:lang w:val="ro-RO" w:eastAsia="ru-RU"/>
                    </w:rPr>
                    <w:t>82</w:t>
                  </w:r>
                </w:p>
              </w:tc>
            </w:tr>
            <w:tr w:rsidR="00F72370" w:rsidRPr="0036045D" w14:paraId="071E758A"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928FA"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Orhei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805DC1B" w14:textId="77777777" w:rsidR="00F72370" w:rsidRPr="00A7595E" w:rsidRDefault="00F72370" w:rsidP="00F72370">
                  <w:pPr>
                    <w:ind w:firstLine="0"/>
                    <w:jc w:val="center"/>
                    <w:rPr>
                      <w:sz w:val="24"/>
                      <w:szCs w:val="24"/>
                      <w:lang w:val="ro-RO" w:eastAsia="ru-RU"/>
                    </w:rPr>
                  </w:pPr>
                  <w:r w:rsidRPr="00A7595E">
                    <w:rPr>
                      <w:sz w:val="24"/>
                      <w:szCs w:val="24"/>
                      <w:lang w:val="ro-RO" w:eastAsia="ru-RU"/>
                    </w:rPr>
                    <w:t>95</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73D9D71D" w14:textId="77777777" w:rsidR="00F72370" w:rsidRPr="00A7595E" w:rsidRDefault="00F72370" w:rsidP="00F72370">
                  <w:pPr>
                    <w:ind w:firstLine="0"/>
                    <w:jc w:val="center"/>
                    <w:rPr>
                      <w:sz w:val="24"/>
                      <w:szCs w:val="24"/>
                      <w:lang w:val="ro-RO" w:eastAsia="ru-RU"/>
                    </w:rPr>
                  </w:pPr>
                  <w:r w:rsidRPr="00A7595E">
                    <w:rPr>
                      <w:sz w:val="24"/>
                      <w:szCs w:val="24"/>
                      <w:lang w:val="ro-RO" w:eastAsia="ru-RU"/>
                    </w:rPr>
                    <w:t>93</w:t>
                  </w:r>
                </w:p>
              </w:tc>
            </w:tr>
            <w:tr w:rsidR="00F72370" w:rsidRPr="0036045D" w14:paraId="6142580E"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FE84E" w14:textId="77777777" w:rsidR="00F72370" w:rsidRPr="00A7595E" w:rsidRDefault="00F72370" w:rsidP="00F72370">
                  <w:pPr>
                    <w:ind w:firstLine="0"/>
                    <w:jc w:val="left"/>
                    <w:rPr>
                      <w:sz w:val="24"/>
                      <w:szCs w:val="24"/>
                      <w:lang w:val="ro-RO" w:eastAsia="ru-RU"/>
                    </w:rPr>
                  </w:pPr>
                  <w:r w:rsidRPr="00A7595E">
                    <w:rPr>
                      <w:sz w:val="24"/>
                      <w:szCs w:val="24"/>
                      <w:lang w:val="ro-RO" w:eastAsia="ru-RU"/>
                    </w:rPr>
                    <w:t xml:space="preserve">CSP </w:t>
                  </w:r>
                  <w:proofErr w:type="spellStart"/>
                  <w:r w:rsidRPr="00A7595E">
                    <w:rPr>
                      <w:sz w:val="24"/>
                      <w:szCs w:val="24"/>
                      <w:lang w:val="ro-RO" w:eastAsia="ru-RU"/>
                    </w:rPr>
                    <w:t>Hîncești</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9CFC284" w14:textId="77777777" w:rsidR="00F72370" w:rsidRPr="00A7595E" w:rsidRDefault="00F72370" w:rsidP="00F72370">
                  <w:pPr>
                    <w:ind w:firstLine="0"/>
                    <w:jc w:val="center"/>
                    <w:rPr>
                      <w:sz w:val="24"/>
                      <w:szCs w:val="24"/>
                      <w:lang w:val="ro-RO" w:eastAsia="ru-RU"/>
                    </w:rPr>
                  </w:pPr>
                  <w:r w:rsidRPr="00A7595E">
                    <w:rPr>
                      <w:sz w:val="24"/>
                      <w:szCs w:val="24"/>
                      <w:lang w:val="ro-RO" w:eastAsia="ru-RU"/>
                    </w:rPr>
                    <w:t>91</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4266150C" w14:textId="77777777" w:rsidR="00F72370" w:rsidRPr="00A7595E" w:rsidRDefault="00F72370" w:rsidP="00F72370">
                  <w:pPr>
                    <w:ind w:firstLine="0"/>
                    <w:jc w:val="center"/>
                    <w:rPr>
                      <w:sz w:val="24"/>
                      <w:szCs w:val="24"/>
                      <w:lang w:val="ro-RO" w:eastAsia="ru-RU"/>
                    </w:rPr>
                  </w:pPr>
                  <w:r w:rsidRPr="00A7595E">
                    <w:rPr>
                      <w:sz w:val="24"/>
                      <w:szCs w:val="24"/>
                      <w:lang w:val="ro-RO" w:eastAsia="ru-RU"/>
                    </w:rPr>
                    <w:t>91</w:t>
                  </w:r>
                </w:p>
              </w:tc>
            </w:tr>
            <w:tr w:rsidR="00F72370" w:rsidRPr="0036045D" w14:paraId="4D533E5C"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9041A"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Căușeni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B5F2C51" w14:textId="77777777" w:rsidR="00F72370" w:rsidRPr="00A7595E" w:rsidRDefault="00F72370" w:rsidP="00F72370">
                  <w:pPr>
                    <w:ind w:firstLine="0"/>
                    <w:jc w:val="center"/>
                    <w:rPr>
                      <w:sz w:val="24"/>
                      <w:szCs w:val="24"/>
                      <w:lang w:val="ro-RO" w:eastAsia="ru-RU"/>
                    </w:rPr>
                  </w:pPr>
                  <w:r w:rsidRPr="00A7595E">
                    <w:rPr>
                      <w:sz w:val="24"/>
                      <w:szCs w:val="24"/>
                      <w:lang w:val="ro-RO" w:eastAsia="ru-RU"/>
                    </w:rPr>
                    <w:t>81</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7D33F537" w14:textId="77777777" w:rsidR="00F72370" w:rsidRPr="00A7595E" w:rsidRDefault="00F72370" w:rsidP="00F72370">
                  <w:pPr>
                    <w:ind w:firstLine="0"/>
                    <w:jc w:val="center"/>
                    <w:rPr>
                      <w:sz w:val="24"/>
                      <w:szCs w:val="24"/>
                      <w:lang w:val="ro-RO" w:eastAsia="ru-RU"/>
                    </w:rPr>
                  </w:pPr>
                  <w:r w:rsidRPr="00A7595E">
                    <w:rPr>
                      <w:sz w:val="24"/>
                      <w:szCs w:val="24"/>
                      <w:lang w:val="ro-RO" w:eastAsia="ru-RU"/>
                    </w:rPr>
                    <w:t>84</w:t>
                  </w:r>
                </w:p>
              </w:tc>
            </w:tr>
            <w:tr w:rsidR="00F72370" w:rsidRPr="0036045D" w14:paraId="5C2D8C02"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212C"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Comrat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3E14EFA" w14:textId="77777777" w:rsidR="00F72370" w:rsidRPr="00A7595E" w:rsidRDefault="00F72370" w:rsidP="00F72370">
                  <w:pPr>
                    <w:ind w:firstLine="0"/>
                    <w:jc w:val="center"/>
                    <w:rPr>
                      <w:sz w:val="24"/>
                      <w:szCs w:val="24"/>
                      <w:lang w:val="ro-RO" w:eastAsia="ru-RU"/>
                    </w:rPr>
                  </w:pPr>
                  <w:r w:rsidRPr="00A7595E">
                    <w:rPr>
                      <w:sz w:val="24"/>
                      <w:szCs w:val="24"/>
                      <w:lang w:val="ro-RO" w:eastAsia="ru-RU"/>
                    </w:rPr>
                    <w:t>74</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059FBD4B" w14:textId="77777777" w:rsidR="00F72370" w:rsidRPr="00A7595E" w:rsidRDefault="00F72370" w:rsidP="00F72370">
                  <w:pPr>
                    <w:ind w:firstLine="0"/>
                    <w:jc w:val="center"/>
                    <w:rPr>
                      <w:sz w:val="24"/>
                      <w:szCs w:val="24"/>
                      <w:lang w:val="ro-RO" w:eastAsia="ru-RU"/>
                    </w:rPr>
                  </w:pPr>
                  <w:r w:rsidRPr="00A7595E">
                    <w:rPr>
                      <w:sz w:val="24"/>
                      <w:szCs w:val="24"/>
                      <w:lang w:val="ro-RO" w:eastAsia="ru-RU"/>
                    </w:rPr>
                    <w:t>77</w:t>
                  </w:r>
                </w:p>
              </w:tc>
            </w:tr>
            <w:tr w:rsidR="00F72370" w:rsidRPr="0036045D" w14:paraId="690E4934"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1178B" w14:textId="77777777" w:rsidR="00F72370" w:rsidRPr="00A7595E" w:rsidRDefault="00F72370" w:rsidP="00F72370">
                  <w:pPr>
                    <w:ind w:firstLine="0"/>
                    <w:jc w:val="left"/>
                    <w:rPr>
                      <w:sz w:val="24"/>
                      <w:szCs w:val="24"/>
                      <w:lang w:val="ro-RO" w:eastAsia="ru-RU"/>
                    </w:rPr>
                  </w:pPr>
                  <w:r w:rsidRPr="00A7595E">
                    <w:rPr>
                      <w:sz w:val="24"/>
                      <w:szCs w:val="24"/>
                      <w:lang w:val="ro-RO" w:eastAsia="ru-RU"/>
                    </w:rPr>
                    <w:t>CSP Cahul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9D12223" w14:textId="77777777" w:rsidR="00F72370" w:rsidRPr="00A7595E" w:rsidRDefault="00F72370" w:rsidP="00F72370">
                  <w:pPr>
                    <w:ind w:firstLine="0"/>
                    <w:jc w:val="center"/>
                    <w:rPr>
                      <w:sz w:val="24"/>
                      <w:szCs w:val="24"/>
                      <w:lang w:val="ro-RO" w:eastAsia="ru-RU"/>
                    </w:rPr>
                  </w:pPr>
                  <w:r w:rsidRPr="00A7595E">
                    <w:rPr>
                      <w:sz w:val="24"/>
                      <w:szCs w:val="24"/>
                      <w:lang w:val="ro-RO" w:eastAsia="ru-RU"/>
                    </w:rPr>
                    <w:t>83</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47176F1B" w14:textId="77777777" w:rsidR="00F72370" w:rsidRPr="00A7595E" w:rsidRDefault="00F72370" w:rsidP="00F72370">
                  <w:pPr>
                    <w:ind w:firstLine="0"/>
                    <w:jc w:val="center"/>
                    <w:rPr>
                      <w:sz w:val="24"/>
                      <w:szCs w:val="24"/>
                      <w:lang w:val="ro-RO" w:eastAsia="ru-RU"/>
                    </w:rPr>
                  </w:pPr>
                  <w:r w:rsidRPr="00A7595E">
                    <w:rPr>
                      <w:sz w:val="24"/>
                      <w:szCs w:val="24"/>
                      <w:lang w:val="ro-RO" w:eastAsia="ru-RU"/>
                    </w:rPr>
                    <w:t>81</w:t>
                  </w:r>
                </w:p>
              </w:tc>
            </w:tr>
            <w:tr w:rsidR="00F72370" w:rsidRPr="0036045D" w14:paraId="4E5544C5" w14:textId="77777777" w:rsidTr="003C066C">
              <w:trPr>
                <w:trHeight w:val="6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B4D65" w14:textId="77777777" w:rsidR="00F72370" w:rsidRPr="00A7595E" w:rsidRDefault="00F72370" w:rsidP="00F72370">
                  <w:pPr>
                    <w:ind w:firstLine="0"/>
                    <w:jc w:val="left"/>
                    <w:rPr>
                      <w:sz w:val="24"/>
                      <w:szCs w:val="24"/>
                      <w:lang w:val="ro-RO" w:eastAsia="ru-RU"/>
                    </w:rPr>
                  </w:pPr>
                  <w:r w:rsidRPr="00A7595E">
                    <w:rPr>
                      <w:sz w:val="24"/>
                      <w:szCs w:val="24"/>
                      <w:lang w:val="ro-RO" w:eastAsia="ru-RU"/>
                    </w:rPr>
                    <w:t>Direcția cercetare și inovare în domeniul sănătății publice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674FF0D" w14:textId="77777777" w:rsidR="00F72370" w:rsidRPr="00A7595E" w:rsidRDefault="00F72370" w:rsidP="00F72370">
                  <w:pPr>
                    <w:ind w:firstLine="0"/>
                    <w:jc w:val="center"/>
                    <w:rPr>
                      <w:sz w:val="24"/>
                      <w:szCs w:val="24"/>
                      <w:lang w:val="ro-RO" w:eastAsia="ru-RU"/>
                    </w:rPr>
                  </w:pPr>
                  <w:r w:rsidRPr="00A7595E">
                    <w:rPr>
                      <w:sz w:val="24"/>
                      <w:szCs w:val="24"/>
                      <w:lang w:val="ro-RO" w:eastAsia="ru-RU"/>
                    </w:rPr>
                    <w:t>65</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516943A7" w14:textId="77777777" w:rsidR="00F72370" w:rsidRPr="00A7595E" w:rsidRDefault="00F72370" w:rsidP="00F72370">
                  <w:pPr>
                    <w:ind w:firstLine="0"/>
                    <w:jc w:val="center"/>
                    <w:rPr>
                      <w:sz w:val="24"/>
                      <w:szCs w:val="24"/>
                      <w:lang w:val="ro-RO" w:eastAsia="ru-RU"/>
                    </w:rPr>
                  </w:pPr>
                  <w:r w:rsidRPr="00A7595E">
                    <w:rPr>
                      <w:sz w:val="24"/>
                      <w:szCs w:val="24"/>
                      <w:lang w:val="ro-RO" w:eastAsia="ru-RU"/>
                    </w:rPr>
                    <w:t>65</w:t>
                  </w:r>
                </w:p>
              </w:tc>
            </w:tr>
            <w:tr w:rsidR="00F72370" w:rsidRPr="0036045D" w14:paraId="53B0D638" w14:textId="77777777" w:rsidTr="003C066C">
              <w:trPr>
                <w:trHeight w:val="360"/>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C1102" w14:textId="77777777" w:rsidR="00F72370" w:rsidRPr="00A7595E" w:rsidRDefault="00F72370" w:rsidP="00F72370">
                  <w:pPr>
                    <w:ind w:firstLine="0"/>
                    <w:jc w:val="left"/>
                    <w:rPr>
                      <w:b/>
                      <w:bCs/>
                      <w:sz w:val="24"/>
                      <w:szCs w:val="24"/>
                      <w:lang w:val="ro-RO" w:eastAsia="ru-RU"/>
                    </w:rPr>
                  </w:pPr>
                  <w:r w:rsidRPr="00A7595E">
                    <w:rPr>
                      <w:b/>
                      <w:bCs/>
                      <w:sz w:val="24"/>
                      <w:szCs w:val="24"/>
                      <w:lang w:val="ro-RO" w:eastAsia="ru-RU"/>
                    </w:rPr>
                    <w:t>Total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3655297" w14:textId="77777777" w:rsidR="00F72370" w:rsidRPr="00A7595E" w:rsidRDefault="00F72370" w:rsidP="00F72370">
                  <w:pPr>
                    <w:ind w:firstLine="0"/>
                    <w:jc w:val="center"/>
                    <w:rPr>
                      <w:b/>
                      <w:bCs/>
                      <w:sz w:val="24"/>
                      <w:szCs w:val="24"/>
                      <w:lang w:val="ro-RO" w:eastAsia="ru-RU"/>
                    </w:rPr>
                  </w:pPr>
                  <w:r w:rsidRPr="00A7595E">
                    <w:rPr>
                      <w:b/>
                      <w:bCs/>
                      <w:sz w:val="24"/>
                      <w:szCs w:val="24"/>
                      <w:lang w:val="ro-RO" w:eastAsia="ru-RU"/>
                    </w:rPr>
                    <w:t>1623</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14:paraId="111E5508" w14:textId="77777777" w:rsidR="00F72370" w:rsidRPr="00A7595E" w:rsidRDefault="00F72370" w:rsidP="00F72370">
                  <w:pPr>
                    <w:ind w:firstLine="0"/>
                    <w:jc w:val="center"/>
                    <w:rPr>
                      <w:b/>
                      <w:bCs/>
                      <w:sz w:val="24"/>
                      <w:szCs w:val="24"/>
                      <w:lang w:val="ro-RO" w:eastAsia="ru-RU"/>
                    </w:rPr>
                  </w:pPr>
                  <w:r w:rsidRPr="00A7595E">
                    <w:rPr>
                      <w:b/>
                      <w:bCs/>
                      <w:sz w:val="24"/>
                      <w:szCs w:val="24"/>
                      <w:lang w:val="ro-RO" w:eastAsia="ru-RU"/>
                    </w:rPr>
                    <w:t>1627</w:t>
                  </w:r>
                </w:p>
              </w:tc>
            </w:tr>
          </w:tbl>
          <w:p w14:paraId="5E3F45AE" w14:textId="77777777" w:rsidR="001B0744" w:rsidRDefault="001B0744" w:rsidP="001B0744">
            <w:pPr>
              <w:ind w:firstLine="381"/>
              <w:rPr>
                <w:rFonts w:ascii="Times New Roman" w:hAnsi="Times New Roman"/>
                <w:sz w:val="24"/>
                <w:szCs w:val="24"/>
                <w:lang w:val="ro-RO"/>
              </w:rPr>
            </w:pPr>
          </w:p>
          <w:p w14:paraId="6B64C37D" w14:textId="13AC90E4" w:rsidR="001B0744" w:rsidRDefault="001B0744" w:rsidP="001B0744">
            <w:pPr>
              <w:ind w:firstLine="381"/>
              <w:rPr>
                <w:rFonts w:ascii="Times New Roman" w:hAnsi="Times New Roman"/>
                <w:sz w:val="24"/>
                <w:szCs w:val="24"/>
                <w:lang w:val="ro-RO"/>
              </w:rPr>
            </w:pPr>
            <w:r w:rsidRPr="001B0744">
              <w:rPr>
                <w:rFonts w:ascii="Times New Roman" w:hAnsi="Times New Roman"/>
                <w:sz w:val="24"/>
                <w:szCs w:val="24"/>
                <w:lang w:val="ro-RO"/>
              </w:rPr>
              <w:t xml:space="preserve">Analiza repartizării unităților în structura nouă arată că Agenția Națională pentru Sănătate Publică va implementa modificări semnificative în structura organizațională, având ca scop optimizarea funcționării interne și sprijinirea eficientă a dezvoltării serviciilor de sănătate publică la nivel național. </w:t>
            </w:r>
          </w:p>
          <w:p w14:paraId="4216F2AB" w14:textId="77777777" w:rsidR="00F72370" w:rsidRPr="00A7595E" w:rsidRDefault="00F72370" w:rsidP="00F72370">
            <w:pPr>
              <w:ind w:firstLine="381"/>
              <w:rPr>
                <w:rFonts w:ascii="Times New Roman" w:hAnsi="Times New Roman"/>
                <w:sz w:val="24"/>
                <w:szCs w:val="24"/>
                <w:lang w:val="ro-RO"/>
              </w:rPr>
            </w:pPr>
          </w:p>
          <w:p w14:paraId="1E2D1BB6" w14:textId="77777777" w:rsidR="001B0744" w:rsidRPr="001B0744" w:rsidRDefault="001B0744" w:rsidP="001B0744">
            <w:pPr>
              <w:ind w:firstLine="381"/>
              <w:jc w:val="center"/>
              <w:rPr>
                <w:rFonts w:ascii="Times New Roman" w:hAnsi="Times New Roman"/>
                <w:b/>
                <w:bCs/>
                <w:sz w:val="24"/>
                <w:szCs w:val="24"/>
                <w:lang w:val="ro-RO"/>
              </w:rPr>
            </w:pPr>
            <w:r w:rsidRPr="001B0744">
              <w:rPr>
                <w:rFonts w:ascii="Times New Roman" w:hAnsi="Times New Roman"/>
                <w:b/>
                <w:bCs/>
                <w:sz w:val="24"/>
                <w:szCs w:val="24"/>
                <w:lang w:val="ro-RO"/>
              </w:rPr>
              <w:t>Repartizarea comparativă a unităților ANSP conform categorie de personal</w:t>
            </w:r>
          </w:p>
          <w:tbl>
            <w:tblPr>
              <w:tblW w:w="8414" w:type="dxa"/>
              <w:jc w:val="center"/>
              <w:tblLook w:val="04A0" w:firstRow="1" w:lastRow="0" w:firstColumn="1" w:lastColumn="0" w:noHBand="0" w:noVBand="1"/>
            </w:tblPr>
            <w:tblGrid>
              <w:gridCol w:w="1631"/>
              <w:gridCol w:w="738"/>
              <w:gridCol w:w="1953"/>
              <w:gridCol w:w="696"/>
              <w:gridCol w:w="738"/>
              <w:gridCol w:w="1776"/>
              <w:gridCol w:w="882"/>
            </w:tblGrid>
            <w:tr w:rsidR="001B0744" w:rsidRPr="0036045D" w14:paraId="11544589" w14:textId="77777777" w:rsidTr="003C066C">
              <w:trPr>
                <w:trHeight w:val="683"/>
                <w:jc w:val="center"/>
              </w:trPr>
              <w:tc>
                <w:tcPr>
                  <w:tcW w:w="1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87F4E"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Categoria de personal</w:t>
                  </w:r>
                </w:p>
              </w:tc>
              <w:tc>
                <w:tcPr>
                  <w:tcW w:w="338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28CE71" w14:textId="77777777" w:rsidR="001B0744" w:rsidRPr="001B0744" w:rsidRDefault="001B0744" w:rsidP="001B0744">
                  <w:pPr>
                    <w:ind w:firstLine="0"/>
                    <w:jc w:val="center"/>
                    <w:rPr>
                      <w:color w:val="000000"/>
                      <w:sz w:val="24"/>
                      <w:szCs w:val="24"/>
                      <w:lang w:val="ro-RO" w:eastAsia="ru-RU"/>
                    </w:rPr>
                  </w:pPr>
                  <w:proofErr w:type="spellStart"/>
                  <w:r w:rsidRPr="001B0744">
                    <w:rPr>
                      <w:color w:val="000000"/>
                      <w:sz w:val="24"/>
                      <w:szCs w:val="24"/>
                      <w:lang w:val="ro-RO" w:eastAsia="ru-RU"/>
                    </w:rPr>
                    <w:t>Pănă</w:t>
                  </w:r>
                  <w:proofErr w:type="spellEnd"/>
                  <w:r w:rsidRPr="001B0744">
                    <w:rPr>
                      <w:color w:val="000000"/>
                      <w:sz w:val="24"/>
                      <w:szCs w:val="24"/>
                      <w:lang w:val="ro-RO" w:eastAsia="ru-RU"/>
                    </w:rPr>
                    <w:t xml:space="preserve"> la (2023)</w:t>
                  </w:r>
                </w:p>
              </w:tc>
              <w:tc>
                <w:tcPr>
                  <w:tcW w:w="33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84AFAD"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După (2024)</w:t>
                  </w:r>
                </w:p>
              </w:tc>
            </w:tr>
            <w:tr w:rsidR="001B0744" w:rsidRPr="0036045D" w14:paraId="6456347E" w14:textId="77777777" w:rsidTr="003C066C">
              <w:trPr>
                <w:trHeight w:val="300"/>
                <w:jc w:val="center"/>
              </w:trPr>
              <w:tc>
                <w:tcPr>
                  <w:tcW w:w="1631" w:type="dxa"/>
                  <w:vMerge/>
                  <w:tcBorders>
                    <w:top w:val="single" w:sz="4" w:space="0" w:color="auto"/>
                    <w:left w:val="single" w:sz="4" w:space="0" w:color="auto"/>
                    <w:bottom w:val="single" w:sz="4" w:space="0" w:color="auto"/>
                    <w:right w:val="single" w:sz="4" w:space="0" w:color="auto"/>
                  </w:tcBorders>
                  <w:vAlign w:val="center"/>
                  <w:hideMark/>
                </w:tcPr>
                <w:p w14:paraId="68FC4965" w14:textId="77777777" w:rsidR="001B0744" w:rsidRPr="001B0744" w:rsidRDefault="001B0744" w:rsidP="001B0744">
                  <w:pPr>
                    <w:ind w:firstLine="0"/>
                    <w:jc w:val="left"/>
                    <w:rPr>
                      <w:color w:val="000000"/>
                      <w:sz w:val="24"/>
                      <w:szCs w:val="24"/>
                      <w:lang w:val="ro-RO" w:eastAsia="ru-RU"/>
                    </w:rPr>
                  </w:pPr>
                </w:p>
              </w:tc>
              <w:tc>
                <w:tcPr>
                  <w:tcW w:w="738" w:type="dxa"/>
                  <w:tcBorders>
                    <w:top w:val="nil"/>
                    <w:left w:val="nil"/>
                    <w:bottom w:val="single" w:sz="4" w:space="0" w:color="auto"/>
                    <w:right w:val="single" w:sz="4" w:space="0" w:color="auto"/>
                  </w:tcBorders>
                  <w:shd w:val="clear" w:color="auto" w:fill="auto"/>
                  <w:noWrap/>
                  <w:vAlign w:val="center"/>
                  <w:hideMark/>
                </w:tcPr>
                <w:p w14:paraId="3198A379"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Total</w:t>
                  </w:r>
                </w:p>
              </w:tc>
              <w:tc>
                <w:tcPr>
                  <w:tcW w:w="1953" w:type="dxa"/>
                  <w:tcBorders>
                    <w:top w:val="nil"/>
                    <w:left w:val="nil"/>
                    <w:bottom w:val="single" w:sz="4" w:space="0" w:color="auto"/>
                    <w:right w:val="single" w:sz="4" w:space="0" w:color="auto"/>
                  </w:tcBorders>
                  <w:shd w:val="clear" w:color="auto" w:fill="auto"/>
                  <w:noWrap/>
                  <w:vAlign w:val="center"/>
                  <w:hideMark/>
                </w:tcPr>
                <w:p w14:paraId="47C4357E"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Sediul central</w:t>
                  </w:r>
                </w:p>
              </w:tc>
              <w:tc>
                <w:tcPr>
                  <w:tcW w:w="696" w:type="dxa"/>
                  <w:tcBorders>
                    <w:top w:val="nil"/>
                    <w:left w:val="nil"/>
                    <w:bottom w:val="single" w:sz="4" w:space="0" w:color="auto"/>
                    <w:right w:val="single" w:sz="4" w:space="0" w:color="auto"/>
                  </w:tcBorders>
                  <w:shd w:val="clear" w:color="auto" w:fill="auto"/>
                  <w:noWrap/>
                  <w:vAlign w:val="center"/>
                  <w:hideMark/>
                </w:tcPr>
                <w:p w14:paraId="4D450920"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CSP</w:t>
                  </w:r>
                </w:p>
              </w:tc>
              <w:tc>
                <w:tcPr>
                  <w:tcW w:w="738" w:type="dxa"/>
                  <w:tcBorders>
                    <w:top w:val="nil"/>
                    <w:left w:val="nil"/>
                    <w:bottom w:val="nil"/>
                    <w:right w:val="single" w:sz="4" w:space="0" w:color="auto"/>
                  </w:tcBorders>
                  <w:shd w:val="clear" w:color="auto" w:fill="auto"/>
                  <w:noWrap/>
                  <w:vAlign w:val="center"/>
                  <w:hideMark/>
                </w:tcPr>
                <w:p w14:paraId="6C7BEF1B"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Total</w:t>
                  </w:r>
                </w:p>
              </w:tc>
              <w:tc>
                <w:tcPr>
                  <w:tcW w:w="1776" w:type="dxa"/>
                  <w:tcBorders>
                    <w:top w:val="nil"/>
                    <w:left w:val="nil"/>
                    <w:bottom w:val="single" w:sz="4" w:space="0" w:color="auto"/>
                    <w:right w:val="single" w:sz="4" w:space="0" w:color="auto"/>
                  </w:tcBorders>
                  <w:shd w:val="clear" w:color="auto" w:fill="auto"/>
                  <w:noWrap/>
                  <w:vAlign w:val="center"/>
                  <w:hideMark/>
                </w:tcPr>
                <w:p w14:paraId="6990E0E2"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Sediul Central</w:t>
                  </w:r>
                </w:p>
              </w:tc>
              <w:tc>
                <w:tcPr>
                  <w:tcW w:w="882" w:type="dxa"/>
                  <w:tcBorders>
                    <w:top w:val="nil"/>
                    <w:left w:val="nil"/>
                    <w:bottom w:val="single" w:sz="4" w:space="0" w:color="auto"/>
                    <w:right w:val="single" w:sz="4" w:space="0" w:color="auto"/>
                  </w:tcBorders>
                  <w:shd w:val="clear" w:color="auto" w:fill="auto"/>
                  <w:noWrap/>
                  <w:vAlign w:val="center"/>
                  <w:hideMark/>
                </w:tcPr>
                <w:p w14:paraId="76102487"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CSP</w:t>
                  </w:r>
                </w:p>
              </w:tc>
            </w:tr>
            <w:tr w:rsidR="001B0744" w:rsidRPr="0036045D" w14:paraId="13F010F6" w14:textId="77777777" w:rsidTr="003C066C">
              <w:trPr>
                <w:trHeight w:val="300"/>
                <w:jc w:val="center"/>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14:paraId="5A28C3E0"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FDP, FPCNS, FPC</w:t>
                  </w:r>
                </w:p>
              </w:tc>
              <w:tc>
                <w:tcPr>
                  <w:tcW w:w="738" w:type="dxa"/>
                  <w:tcBorders>
                    <w:top w:val="nil"/>
                    <w:left w:val="nil"/>
                    <w:bottom w:val="single" w:sz="4" w:space="0" w:color="auto"/>
                    <w:right w:val="single" w:sz="4" w:space="0" w:color="auto"/>
                  </w:tcBorders>
                  <w:shd w:val="clear" w:color="auto" w:fill="auto"/>
                  <w:noWrap/>
                  <w:vAlign w:val="center"/>
                  <w:hideMark/>
                </w:tcPr>
                <w:p w14:paraId="68EF5D1C"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41</w:t>
                  </w:r>
                </w:p>
              </w:tc>
              <w:tc>
                <w:tcPr>
                  <w:tcW w:w="1953" w:type="dxa"/>
                  <w:tcBorders>
                    <w:top w:val="nil"/>
                    <w:left w:val="nil"/>
                    <w:bottom w:val="single" w:sz="4" w:space="0" w:color="auto"/>
                    <w:right w:val="single" w:sz="4" w:space="0" w:color="auto"/>
                  </w:tcBorders>
                  <w:shd w:val="clear" w:color="auto" w:fill="auto"/>
                  <w:noWrap/>
                  <w:vAlign w:val="center"/>
                  <w:hideMark/>
                </w:tcPr>
                <w:p w14:paraId="41D3FB39"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19</w:t>
                  </w:r>
                </w:p>
              </w:tc>
              <w:tc>
                <w:tcPr>
                  <w:tcW w:w="696" w:type="dxa"/>
                  <w:tcBorders>
                    <w:top w:val="nil"/>
                    <w:left w:val="nil"/>
                    <w:bottom w:val="single" w:sz="4" w:space="0" w:color="auto"/>
                    <w:right w:val="single" w:sz="4" w:space="0" w:color="auto"/>
                  </w:tcBorders>
                  <w:shd w:val="clear" w:color="auto" w:fill="auto"/>
                  <w:noWrap/>
                  <w:vAlign w:val="center"/>
                  <w:hideMark/>
                </w:tcPr>
                <w:p w14:paraId="7C59A3CD"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22</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15EDF778"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39</w:t>
                  </w:r>
                </w:p>
              </w:tc>
              <w:tc>
                <w:tcPr>
                  <w:tcW w:w="1776" w:type="dxa"/>
                  <w:tcBorders>
                    <w:top w:val="nil"/>
                    <w:left w:val="nil"/>
                    <w:bottom w:val="single" w:sz="4" w:space="0" w:color="auto"/>
                    <w:right w:val="single" w:sz="4" w:space="0" w:color="auto"/>
                  </w:tcBorders>
                  <w:shd w:val="clear" w:color="auto" w:fill="auto"/>
                  <w:noWrap/>
                  <w:vAlign w:val="center"/>
                  <w:hideMark/>
                </w:tcPr>
                <w:p w14:paraId="653B8425"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17</w:t>
                  </w:r>
                </w:p>
              </w:tc>
              <w:tc>
                <w:tcPr>
                  <w:tcW w:w="882" w:type="dxa"/>
                  <w:tcBorders>
                    <w:top w:val="nil"/>
                    <w:left w:val="nil"/>
                    <w:bottom w:val="single" w:sz="4" w:space="0" w:color="auto"/>
                    <w:right w:val="single" w:sz="4" w:space="0" w:color="auto"/>
                  </w:tcBorders>
                  <w:shd w:val="clear" w:color="auto" w:fill="auto"/>
                  <w:noWrap/>
                  <w:vAlign w:val="center"/>
                  <w:hideMark/>
                </w:tcPr>
                <w:p w14:paraId="37495935"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22</w:t>
                  </w:r>
                </w:p>
              </w:tc>
            </w:tr>
            <w:tr w:rsidR="001B0744" w:rsidRPr="0036045D" w14:paraId="32942344" w14:textId="77777777" w:rsidTr="003C066C">
              <w:trPr>
                <w:trHeight w:val="300"/>
                <w:jc w:val="center"/>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14:paraId="7BC76483"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FPE</w:t>
                  </w:r>
                </w:p>
              </w:tc>
              <w:tc>
                <w:tcPr>
                  <w:tcW w:w="738" w:type="dxa"/>
                  <w:tcBorders>
                    <w:top w:val="nil"/>
                    <w:left w:val="nil"/>
                    <w:bottom w:val="single" w:sz="4" w:space="0" w:color="auto"/>
                    <w:right w:val="single" w:sz="4" w:space="0" w:color="auto"/>
                  </w:tcBorders>
                  <w:shd w:val="clear" w:color="auto" w:fill="auto"/>
                  <w:noWrap/>
                  <w:vAlign w:val="center"/>
                  <w:hideMark/>
                </w:tcPr>
                <w:p w14:paraId="2B67E9CE"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155</w:t>
                  </w:r>
                </w:p>
              </w:tc>
              <w:tc>
                <w:tcPr>
                  <w:tcW w:w="1953" w:type="dxa"/>
                  <w:tcBorders>
                    <w:top w:val="nil"/>
                    <w:left w:val="nil"/>
                    <w:bottom w:val="single" w:sz="4" w:space="0" w:color="auto"/>
                    <w:right w:val="single" w:sz="4" w:space="0" w:color="auto"/>
                  </w:tcBorders>
                  <w:shd w:val="clear" w:color="auto" w:fill="auto"/>
                  <w:noWrap/>
                  <w:vAlign w:val="bottom"/>
                  <w:hideMark/>
                </w:tcPr>
                <w:p w14:paraId="4C81532F"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62</w:t>
                  </w:r>
                </w:p>
              </w:tc>
              <w:tc>
                <w:tcPr>
                  <w:tcW w:w="696" w:type="dxa"/>
                  <w:tcBorders>
                    <w:top w:val="nil"/>
                    <w:left w:val="nil"/>
                    <w:bottom w:val="single" w:sz="4" w:space="0" w:color="auto"/>
                    <w:right w:val="single" w:sz="4" w:space="0" w:color="auto"/>
                  </w:tcBorders>
                  <w:shd w:val="clear" w:color="auto" w:fill="auto"/>
                  <w:noWrap/>
                  <w:vAlign w:val="bottom"/>
                  <w:hideMark/>
                </w:tcPr>
                <w:p w14:paraId="186119A1"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93</w:t>
                  </w:r>
                </w:p>
              </w:tc>
              <w:tc>
                <w:tcPr>
                  <w:tcW w:w="738" w:type="dxa"/>
                  <w:tcBorders>
                    <w:top w:val="nil"/>
                    <w:left w:val="nil"/>
                    <w:bottom w:val="single" w:sz="4" w:space="0" w:color="auto"/>
                    <w:right w:val="single" w:sz="4" w:space="0" w:color="auto"/>
                  </w:tcBorders>
                  <w:shd w:val="clear" w:color="auto" w:fill="auto"/>
                  <w:noWrap/>
                  <w:vAlign w:val="bottom"/>
                  <w:hideMark/>
                </w:tcPr>
                <w:p w14:paraId="6020EA03"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169</w:t>
                  </w:r>
                </w:p>
              </w:tc>
              <w:tc>
                <w:tcPr>
                  <w:tcW w:w="1776" w:type="dxa"/>
                  <w:tcBorders>
                    <w:top w:val="nil"/>
                    <w:left w:val="nil"/>
                    <w:bottom w:val="single" w:sz="4" w:space="0" w:color="auto"/>
                    <w:right w:val="single" w:sz="4" w:space="0" w:color="auto"/>
                  </w:tcBorders>
                  <w:shd w:val="clear" w:color="auto" w:fill="auto"/>
                  <w:noWrap/>
                  <w:vAlign w:val="bottom"/>
                  <w:hideMark/>
                </w:tcPr>
                <w:p w14:paraId="69BE5B97"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61</w:t>
                  </w:r>
                </w:p>
              </w:tc>
              <w:tc>
                <w:tcPr>
                  <w:tcW w:w="882" w:type="dxa"/>
                  <w:tcBorders>
                    <w:top w:val="nil"/>
                    <w:left w:val="nil"/>
                    <w:bottom w:val="single" w:sz="4" w:space="0" w:color="auto"/>
                    <w:right w:val="single" w:sz="4" w:space="0" w:color="auto"/>
                  </w:tcBorders>
                  <w:shd w:val="clear" w:color="auto" w:fill="auto"/>
                  <w:noWrap/>
                  <w:vAlign w:val="bottom"/>
                  <w:hideMark/>
                </w:tcPr>
                <w:p w14:paraId="46CC9C47"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108</w:t>
                  </w:r>
                </w:p>
              </w:tc>
            </w:tr>
            <w:tr w:rsidR="001B0744" w:rsidRPr="0036045D" w14:paraId="40D3567E" w14:textId="77777777" w:rsidTr="003C066C">
              <w:trPr>
                <w:trHeight w:val="300"/>
                <w:jc w:val="center"/>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14:paraId="7819A883"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PS</w:t>
                  </w:r>
                </w:p>
              </w:tc>
              <w:tc>
                <w:tcPr>
                  <w:tcW w:w="738" w:type="dxa"/>
                  <w:tcBorders>
                    <w:top w:val="nil"/>
                    <w:left w:val="nil"/>
                    <w:bottom w:val="single" w:sz="4" w:space="0" w:color="auto"/>
                    <w:right w:val="single" w:sz="4" w:space="0" w:color="auto"/>
                  </w:tcBorders>
                  <w:shd w:val="clear" w:color="auto" w:fill="auto"/>
                  <w:noWrap/>
                  <w:vAlign w:val="center"/>
                  <w:hideMark/>
                </w:tcPr>
                <w:p w14:paraId="0B62AE5E"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1182</w:t>
                  </w:r>
                </w:p>
              </w:tc>
              <w:tc>
                <w:tcPr>
                  <w:tcW w:w="1953" w:type="dxa"/>
                  <w:tcBorders>
                    <w:top w:val="nil"/>
                    <w:left w:val="nil"/>
                    <w:bottom w:val="single" w:sz="4" w:space="0" w:color="auto"/>
                    <w:right w:val="single" w:sz="4" w:space="0" w:color="auto"/>
                  </w:tcBorders>
                  <w:shd w:val="clear" w:color="auto" w:fill="auto"/>
                  <w:noWrap/>
                  <w:vAlign w:val="bottom"/>
                  <w:hideMark/>
                </w:tcPr>
                <w:p w14:paraId="63C7FA87"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353</w:t>
                  </w:r>
                </w:p>
              </w:tc>
              <w:tc>
                <w:tcPr>
                  <w:tcW w:w="696" w:type="dxa"/>
                  <w:tcBorders>
                    <w:top w:val="nil"/>
                    <w:left w:val="nil"/>
                    <w:bottom w:val="single" w:sz="4" w:space="0" w:color="auto"/>
                    <w:right w:val="single" w:sz="4" w:space="0" w:color="auto"/>
                  </w:tcBorders>
                  <w:shd w:val="clear" w:color="auto" w:fill="auto"/>
                  <w:noWrap/>
                  <w:vAlign w:val="bottom"/>
                  <w:hideMark/>
                </w:tcPr>
                <w:p w14:paraId="09E2F798"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829</w:t>
                  </w:r>
                </w:p>
              </w:tc>
              <w:tc>
                <w:tcPr>
                  <w:tcW w:w="738" w:type="dxa"/>
                  <w:tcBorders>
                    <w:top w:val="nil"/>
                    <w:left w:val="nil"/>
                    <w:bottom w:val="single" w:sz="4" w:space="0" w:color="auto"/>
                    <w:right w:val="single" w:sz="4" w:space="0" w:color="auto"/>
                  </w:tcBorders>
                  <w:shd w:val="clear" w:color="auto" w:fill="auto"/>
                  <w:noWrap/>
                  <w:vAlign w:val="bottom"/>
                  <w:hideMark/>
                </w:tcPr>
                <w:p w14:paraId="634140EF"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1171</w:t>
                  </w:r>
                </w:p>
              </w:tc>
              <w:tc>
                <w:tcPr>
                  <w:tcW w:w="1776" w:type="dxa"/>
                  <w:tcBorders>
                    <w:top w:val="nil"/>
                    <w:left w:val="nil"/>
                    <w:bottom w:val="single" w:sz="4" w:space="0" w:color="auto"/>
                    <w:right w:val="single" w:sz="4" w:space="0" w:color="auto"/>
                  </w:tcBorders>
                  <w:shd w:val="clear" w:color="auto" w:fill="auto"/>
                  <w:noWrap/>
                  <w:vAlign w:val="bottom"/>
                  <w:hideMark/>
                </w:tcPr>
                <w:p w14:paraId="5964EBF0"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443</w:t>
                  </w:r>
                </w:p>
              </w:tc>
              <w:tc>
                <w:tcPr>
                  <w:tcW w:w="882" w:type="dxa"/>
                  <w:tcBorders>
                    <w:top w:val="nil"/>
                    <w:left w:val="nil"/>
                    <w:bottom w:val="single" w:sz="4" w:space="0" w:color="auto"/>
                    <w:right w:val="single" w:sz="4" w:space="0" w:color="auto"/>
                  </w:tcBorders>
                  <w:shd w:val="clear" w:color="auto" w:fill="auto"/>
                  <w:noWrap/>
                  <w:vAlign w:val="bottom"/>
                  <w:hideMark/>
                </w:tcPr>
                <w:p w14:paraId="0FBC2B3C"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728</w:t>
                  </w:r>
                </w:p>
              </w:tc>
            </w:tr>
            <w:tr w:rsidR="001B0744" w:rsidRPr="0036045D" w14:paraId="35663B8F" w14:textId="77777777" w:rsidTr="003C066C">
              <w:trPr>
                <w:trHeight w:val="300"/>
                <w:jc w:val="center"/>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14:paraId="06A9F45F"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PA</w:t>
                  </w:r>
                </w:p>
              </w:tc>
              <w:tc>
                <w:tcPr>
                  <w:tcW w:w="738" w:type="dxa"/>
                  <w:tcBorders>
                    <w:top w:val="nil"/>
                    <w:left w:val="nil"/>
                    <w:bottom w:val="single" w:sz="4" w:space="0" w:color="auto"/>
                    <w:right w:val="single" w:sz="4" w:space="0" w:color="auto"/>
                  </w:tcBorders>
                  <w:shd w:val="clear" w:color="auto" w:fill="auto"/>
                  <w:noWrap/>
                  <w:vAlign w:val="center"/>
                  <w:hideMark/>
                </w:tcPr>
                <w:p w14:paraId="411096C3"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173</w:t>
                  </w:r>
                </w:p>
              </w:tc>
              <w:tc>
                <w:tcPr>
                  <w:tcW w:w="1953" w:type="dxa"/>
                  <w:tcBorders>
                    <w:top w:val="nil"/>
                    <w:left w:val="nil"/>
                    <w:bottom w:val="single" w:sz="4" w:space="0" w:color="auto"/>
                    <w:right w:val="single" w:sz="4" w:space="0" w:color="auto"/>
                  </w:tcBorders>
                  <w:shd w:val="clear" w:color="auto" w:fill="auto"/>
                  <w:noWrap/>
                  <w:vAlign w:val="bottom"/>
                  <w:hideMark/>
                </w:tcPr>
                <w:p w14:paraId="34747DCC"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41</w:t>
                  </w:r>
                </w:p>
              </w:tc>
              <w:tc>
                <w:tcPr>
                  <w:tcW w:w="696" w:type="dxa"/>
                  <w:tcBorders>
                    <w:top w:val="nil"/>
                    <w:left w:val="nil"/>
                    <w:bottom w:val="single" w:sz="4" w:space="0" w:color="auto"/>
                    <w:right w:val="single" w:sz="4" w:space="0" w:color="auto"/>
                  </w:tcBorders>
                  <w:shd w:val="clear" w:color="auto" w:fill="auto"/>
                  <w:noWrap/>
                  <w:vAlign w:val="bottom"/>
                  <w:hideMark/>
                </w:tcPr>
                <w:p w14:paraId="740AD578"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132</w:t>
                  </w:r>
                </w:p>
              </w:tc>
              <w:tc>
                <w:tcPr>
                  <w:tcW w:w="738" w:type="dxa"/>
                  <w:tcBorders>
                    <w:top w:val="nil"/>
                    <w:left w:val="nil"/>
                    <w:bottom w:val="single" w:sz="4" w:space="0" w:color="auto"/>
                    <w:right w:val="single" w:sz="4" w:space="0" w:color="auto"/>
                  </w:tcBorders>
                  <w:shd w:val="clear" w:color="auto" w:fill="auto"/>
                  <w:noWrap/>
                  <w:vAlign w:val="bottom"/>
                  <w:hideMark/>
                </w:tcPr>
                <w:p w14:paraId="5EAC5F0B"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172</w:t>
                  </w:r>
                </w:p>
              </w:tc>
              <w:tc>
                <w:tcPr>
                  <w:tcW w:w="1776" w:type="dxa"/>
                  <w:tcBorders>
                    <w:top w:val="nil"/>
                    <w:left w:val="nil"/>
                    <w:bottom w:val="single" w:sz="4" w:space="0" w:color="auto"/>
                    <w:right w:val="single" w:sz="4" w:space="0" w:color="auto"/>
                  </w:tcBorders>
                  <w:shd w:val="clear" w:color="auto" w:fill="auto"/>
                  <w:noWrap/>
                  <w:vAlign w:val="bottom"/>
                  <w:hideMark/>
                </w:tcPr>
                <w:p w14:paraId="15C70BFB"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38</w:t>
                  </w:r>
                </w:p>
              </w:tc>
              <w:tc>
                <w:tcPr>
                  <w:tcW w:w="882" w:type="dxa"/>
                  <w:tcBorders>
                    <w:top w:val="nil"/>
                    <w:left w:val="nil"/>
                    <w:bottom w:val="single" w:sz="4" w:space="0" w:color="auto"/>
                    <w:right w:val="single" w:sz="4" w:space="0" w:color="auto"/>
                  </w:tcBorders>
                  <w:shd w:val="clear" w:color="auto" w:fill="auto"/>
                  <w:noWrap/>
                  <w:vAlign w:val="bottom"/>
                  <w:hideMark/>
                </w:tcPr>
                <w:p w14:paraId="10234DA4"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134</w:t>
                  </w:r>
                </w:p>
              </w:tc>
            </w:tr>
            <w:tr w:rsidR="001B0744" w:rsidRPr="0036045D" w14:paraId="0DC95191" w14:textId="77777777" w:rsidTr="003C066C">
              <w:trPr>
                <w:trHeight w:val="300"/>
                <w:jc w:val="center"/>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14:paraId="2E07B285"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PDT</w:t>
                  </w:r>
                </w:p>
              </w:tc>
              <w:tc>
                <w:tcPr>
                  <w:tcW w:w="738" w:type="dxa"/>
                  <w:tcBorders>
                    <w:top w:val="nil"/>
                    <w:left w:val="nil"/>
                    <w:bottom w:val="single" w:sz="4" w:space="0" w:color="auto"/>
                    <w:right w:val="single" w:sz="4" w:space="0" w:color="auto"/>
                  </w:tcBorders>
                  <w:shd w:val="clear" w:color="auto" w:fill="auto"/>
                  <w:noWrap/>
                  <w:vAlign w:val="center"/>
                  <w:hideMark/>
                </w:tcPr>
                <w:p w14:paraId="78585C6C"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72</w:t>
                  </w:r>
                </w:p>
              </w:tc>
              <w:tc>
                <w:tcPr>
                  <w:tcW w:w="1953" w:type="dxa"/>
                  <w:tcBorders>
                    <w:top w:val="nil"/>
                    <w:left w:val="nil"/>
                    <w:bottom w:val="single" w:sz="4" w:space="0" w:color="auto"/>
                    <w:right w:val="single" w:sz="4" w:space="0" w:color="auto"/>
                  </w:tcBorders>
                  <w:shd w:val="clear" w:color="auto" w:fill="auto"/>
                  <w:noWrap/>
                  <w:vAlign w:val="bottom"/>
                  <w:hideMark/>
                </w:tcPr>
                <w:p w14:paraId="70DE9FB4"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10</w:t>
                  </w:r>
                </w:p>
              </w:tc>
              <w:tc>
                <w:tcPr>
                  <w:tcW w:w="696" w:type="dxa"/>
                  <w:tcBorders>
                    <w:top w:val="nil"/>
                    <w:left w:val="nil"/>
                    <w:bottom w:val="single" w:sz="4" w:space="0" w:color="auto"/>
                    <w:right w:val="single" w:sz="4" w:space="0" w:color="auto"/>
                  </w:tcBorders>
                  <w:shd w:val="clear" w:color="auto" w:fill="auto"/>
                  <w:noWrap/>
                  <w:vAlign w:val="bottom"/>
                  <w:hideMark/>
                </w:tcPr>
                <w:p w14:paraId="27A1C1FD"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62</w:t>
                  </w:r>
                </w:p>
              </w:tc>
              <w:tc>
                <w:tcPr>
                  <w:tcW w:w="738" w:type="dxa"/>
                  <w:tcBorders>
                    <w:top w:val="nil"/>
                    <w:left w:val="nil"/>
                    <w:bottom w:val="single" w:sz="4" w:space="0" w:color="auto"/>
                    <w:right w:val="single" w:sz="4" w:space="0" w:color="auto"/>
                  </w:tcBorders>
                  <w:shd w:val="clear" w:color="auto" w:fill="auto"/>
                  <w:noWrap/>
                  <w:vAlign w:val="bottom"/>
                  <w:hideMark/>
                </w:tcPr>
                <w:p w14:paraId="039BDBA8"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76</w:t>
                  </w:r>
                </w:p>
              </w:tc>
              <w:tc>
                <w:tcPr>
                  <w:tcW w:w="1776" w:type="dxa"/>
                  <w:tcBorders>
                    <w:top w:val="nil"/>
                    <w:left w:val="nil"/>
                    <w:bottom w:val="single" w:sz="4" w:space="0" w:color="auto"/>
                    <w:right w:val="single" w:sz="4" w:space="0" w:color="auto"/>
                  </w:tcBorders>
                  <w:shd w:val="clear" w:color="auto" w:fill="auto"/>
                  <w:noWrap/>
                  <w:vAlign w:val="bottom"/>
                  <w:hideMark/>
                </w:tcPr>
                <w:p w14:paraId="0D468038"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7</w:t>
                  </w:r>
                </w:p>
              </w:tc>
              <w:tc>
                <w:tcPr>
                  <w:tcW w:w="882" w:type="dxa"/>
                  <w:tcBorders>
                    <w:top w:val="nil"/>
                    <w:left w:val="nil"/>
                    <w:bottom w:val="single" w:sz="4" w:space="0" w:color="auto"/>
                    <w:right w:val="single" w:sz="4" w:space="0" w:color="auto"/>
                  </w:tcBorders>
                  <w:shd w:val="clear" w:color="auto" w:fill="auto"/>
                  <w:noWrap/>
                  <w:vAlign w:val="bottom"/>
                  <w:hideMark/>
                </w:tcPr>
                <w:p w14:paraId="64B1A30F"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69</w:t>
                  </w:r>
                </w:p>
              </w:tc>
            </w:tr>
            <w:tr w:rsidR="001B0744" w:rsidRPr="0036045D" w14:paraId="6747065C" w14:textId="77777777" w:rsidTr="003C066C">
              <w:trPr>
                <w:trHeight w:val="300"/>
                <w:jc w:val="center"/>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14:paraId="7F4AD65A" w14:textId="77777777" w:rsidR="001B0744" w:rsidRPr="001B0744" w:rsidRDefault="001B0744" w:rsidP="001B0744">
                  <w:pPr>
                    <w:ind w:firstLine="0"/>
                    <w:jc w:val="left"/>
                    <w:rPr>
                      <w:color w:val="000000"/>
                      <w:sz w:val="24"/>
                      <w:szCs w:val="24"/>
                      <w:lang w:val="ro-RO" w:eastAsia="ru-RU"/>
                    </w:rPr>
                  </w:pPr>
                  <w:r w:rsidRPr="001B0744">
                    <w:rPr>
                      <w:color w:val="000000"/>
                      <w:sz w:val="24"/>
                      <w:szCs w:val="24"/>
                      <w:lang w:val="ro-RO" w:eastAsia="ru-RU"/>
                    </w:rPr>
                    <w:t>Total</w:t>
                  </w:r>
                </w:p>
              </w:tc>
              <w:tc>
                <w:tcPr>
                  <w:tcW w:w="738" w:type="dxa"/>
                  <w:tcBorders>
                    <w:top w:val="nil"/>
                    <w:left w:val="nil"/>
                    <w:bottom w:val="single" w:sz="4" w:space="0" w:color="auto"/>
                    <w:right w:val="single" w:sz="4" w:space="0" w:color="auto"/>
                  </w:tcBorders>
                  <w:shd w:val="clear" w:color="auto" w:fill="auto"/>
                  <w:noWrap/>
                  <w:vAlign w:val="bottom"/>
                  <w:hideMark/>
                </w:tcPr>
                <w:p w14:paraId="750E411D"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1623</w:t>
                  </w:r>
                </w:p>
              </w:tc>
              <w:tc>
                <w:tcPr>
                  <w:tcW w:w="1953" w:type="dxa"/>
                  <w:tcBorders>
                    <w:top w:val="nil"/>
                    <w:left w:val="nil"/>
                    <w:bottom w:val="single" w:sz="4" w:space="0" w:color="auto"/>
                    <w:right w:val="single" w:sz="4" w:space="0" w:color="auto"/>
                  </w:tcBorders>
                  <w:shd w:val="clear" w:color="auto" w:fill="auto"/>
                  <w:noWrap/>
                  <w:vAlign w:val="bottom"/>
                  <w:hideMark/>
                </w:tcPr>
                <w:p w14:paraId="3EE4F0A5"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485</w:t>
                  </w:r>
                </w:p>
              </w:tc>
              <w:tc>
                <w:tcPr>
                  <w:tcW w:w="696" w:type="dxa"/>
                  <w:tcBorders>
                    <w:top w:val="nil"/>
                    <w:left w:val="nil"/>
                    <w:bottom w:val="single" w:sz="4" w:space="0" w:color="auto"/>
                    <w:right w:val="single" w:sz="4" w:space="0" w:color="auto"/>
                  </w:tcBorders>
                  <w:shd w:val="clear" w:color="auto" w:fill="auto"/>
                  <w:noWrap/>
                  <w:vAlign w:val="bottom"/>
                  <w:hideMark/>
                </w:tcPr>
                <w:p w14:paraId="6FF0AE33"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1138</w:t>
                  </w:r>
                </w:p>
              </w:tc>
              <w:tc>
                <w:tcPr>
                  <w:tcW w:w="738" w:type="dxa"/>
                  <w:tcBorders>
                    <w:top w:val="nil"/>
                    <w:left w:val="nil"/>
                    <w:bottom w:val="single" w:sz="4" w:space="0" w:color="auto"/>
                    <w:right w:val="single" w:sz="4" w:space="0" w:color="auto"/>
                  </w:tcBorders>
                  <w:shd w:val="clear" w:color="auto" w:fill="auto"/>
                  <w:noWrap/>
                  <w:vAlign w:val="bottom"/>
                  <w:hideMark/>
                </w:tcPr>
                <w:p w14:paraId="7F57C692"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1627</w:t>
                  </w:r>
                </w:p>
              </w:tc>
              <w:tc>
                <w:tcPr>
                  <w:tcW w:w="1776" w:type="dxa"/>
                  <w:tcBorders>
                    <w:top w:val="nil"/>
                    <w:left w:val="nil"/>
                    <w:bottom w:val="single" w:sz="4" w:space="0" w:color="auto"/>
                    <w:right w:val="single" w:sz="4" w:space="0" w:color="auto"/>
                  </w:tcBorders>
                  <w:shd w:val="clear" w:color="auto" w:fill="auto"/>
                  <w:noWrap/>
                  <w:vAlign w:val="bottom"/>
                  <w:hideMark/>
                </w:tcPr>
                <w:p w14:paraId="6569CC8B" w14:textId="77777777" w:rsidR="001B0744" w:rsidRPr="001B0744" w:rsidRDefault="001B0744" w:rsidP="001B0744">
                  <w:pPr>
                    <w:ind w:firstLine="0"/>
                    <w:jc w:val="center"/>
                    <w:rPr>
                      <w:color w:val="000000"/>
                      <w:sz w:val="24"/>
                      <w:szCs w:val="24"/>
                      <w:lang w:val="ro-RO" w:eastAsia="ru-RU"/>
                    </w:rPr>
                  </w:pPr>
                  <w:r w:rsidRPr="001B0744">
                    <w:rPr>
                      <w:color w:val="000000"/>
                      <w:sz w:val="24"/>
                      <w:szCs w:val="24"/>
                      <w:lang w:val="ro-RO" w:eastAsia="ru-RU"/>
                    </w:rPr>
                    <w:t>566</w:t>
                  </w:r>
                </w:p>
              </w:tc>
              <w:tc>
                <w:tcPr>
                  <w:tcW w:w="882" w:type="dxa"/>
                  <w:tcBorders>
                    <w:top w:val="nil"/>
                    <w:left w:val="nil"/>
                    <w:bottom w:val="single" w:sz="4" w:space="0" w:color="auto"/>
                    <w:right w:val="single" w:sz="4" w:space="0" w:color="auto"/>
                  </w:tcBorders>
                  <w:shd w:val="clear" w:color="auto" w:fill="auto"/>
                  <w:noWrap/>
                  <w:vAlign w:val="bottom"/>
                  <w:hideMark/>
                </w:tcPr>
                <w:p w14:paraId="26D8D3EE" w14:textId="77777777" w:rsidR="001B0744" w:rsidRPr="001B0744" w:rsidRDefault="001B0744" w:rsidP="001B0744">
                  <w:pPr>
                    <w:ind w:firstLine="0"/>
                    <w:jc w:val="right"/>
                    <w:rPr>
                      <w:color w:val="000000"/>
                      <w:sz w:val="24"/>
                      <w:szCs w:val="24"/>
                      <w:lang w:val="ro-RO" w:eastAsia="ru-RU"/>
                    </w:rPr>
                  </w:pPr>
                  <w:r w:rsidRPr="001B0744">
                    <w:rPr>
                      <w:color w:val="000000"/>
                      <w:sz w:val="24"/>
                      <w:szCs w:val="24"/>
                      <w:lang w:val="ro-RO" w:eastAsia="ru-RU"/>
                    </w:rPr>
                    <w:t>1061</w:t>
                  </w:r>
                </w:p>
              </w:tc>
            </w:tr>
          </w:tbl>
          <w:p w14:paraId="72A28C00" w14:textId="77777777" w:rsidR="001B0744" w:rsidRDefault="001B0744" w:rsidP="001B0744">
            <w:pPr>
              <w:ind w:firstLine="381"/>
              <w:rPr>
                <w:rFonts w:ascii="Times New Roman" w:hAnsi="Times New Roman"/>
                <w:sz w:val="24"/>
                <w:szCs w:val="24"/>
                <w:lang w:val="ro-RO"/>
              </w:rPr>
            </w:pPr>
          </w:p>
          <w:p w14:paraId="5250F981" w14:textId="77777777" w:rsidR="001B0744" w:rsidRDefault="001B0744" w:rsidP="001B0744">
            <w:pPr>
              <w:ind w:firstLine="381"/>
              <w:rPr>
                <w:rFonts w:ascii="Times New Roman" w:hAnsi="Times New Roman"/>
                <w:sz w:val="24"/>
                <w:szCs w:val="24"/>
                <w:lang w:val="ro-RO"/>
              </w:rPr>
            </w:pPr>
          </w:p>
          <w:p w14:paraId="6BDD6D1D" w14:textId="60E1D263" w:rsidR="001B0744" w:rsidRPr="001B0744" w:rsidRDefault="001B0744" w:rsidP="001B0744">
            <w:pPr>
              <w:ind w:firstLine="381"/>
              <w:rPr>
                <w:rFonts w:ascii="Times New Roman" w:hAnsi="Times New Roman"/>
                <w:sz w:val="24"/>
                <w:szCs w:val="24"/>
                <w:lang w:val="ro-RO"/>
              </w:rPr>
            </w:pPr>
            <w:r w:rsidRPr="001B0744">
              <w:rPr>
                <w:rFonts w:ascii="Times New Roman" w:hAnsi="Times New Roman"/>
                <w:sz w:val="24"/>
                <w:szCs w:val="24"/>
                <w:lang w:val="ro-RO"/>
              </w:rPr>
              <w:lastRenderedPageBreak/>
              <w:t>Analiza comparativă a distribuției personalului relevă următoarele aspecte:</w:t>
            </w:r>
          </w:p>
          <w:p w14:paraId="18D721A0" w14:textId="77777777" w:rsidR="001B0744" w:rsidRPr="001B0744" w:rsidRDefault="001B0744" w:rsidP="001B0744">
            <w:pPr>
              <w:numPr>
                <w:ilvl w:val="0"/>
                <w:numId w:val="53"/>
              </w:numPr>
              <w:jc w:val="left"/>
              <w:rPr>
                <w:rFonts w:ascii="Times New Roman" w:hAnsi="Times New Roman"/>
                <w:sz w:val="24"/>
                <w:szCs w:val="24"/>
                <w:lang w:val="fr-FR" w:eastAsia="ru-RU"/>
              </w:rPr>
            </w:pPr>
            <w:proofErr w:type="spellStart"/>
            <w:r w:rsidRPr="001B0744">
              <w:rPr>
                <w:rFonts w:ascii="Times New Roman" w:hAnsi="Times New Roman"/>
                <w:b/>
                <w:bCs/>
                <w:sz w:val="24"/>
                <w:szCs w:val="24"/>
                <w:lang w:val="fr-FR" w:eastAsia="ru-RU"/>
              </w:rPr>
              <w:t>Funcționari</w:t>
            </w:r>
            <w:proofErr w:type="spellEnd"/>
            <w:r w:rsidRPr="001B0744">
              <w:rPr>
                <w:rFonts w:ascii="Times New Roman" w:hAnsi="Times New Roman"/>
                <w:b/>
                <w:bCs/>
                <w:sz w:val="24"/>
                <w:szCs w:val="24"/>
                <w:lang w:val="fr-FR" w:eastAsia="ru-RU"/>
              </w:rPr>
              <w:t xml:space="preserve"> </w:t>
            </w:r>
            <w:proofErr w:type="spellStart"/>
            <w:r w:rsidRPr="001B0744">
              <w:rPr>
                <w:rFonts w:ascii="Times New Roman" w:hAnsi="Times New Roman"/>
                <w:b/>
                <w:bCs/>
                <w:sz w:val="24"/>
                <w:szCs w:val="24"/>
                <w:lang w:val="fr-FR" w:eastAsia="ru-RU"/>
              </w:rPr>
              <w:t>publici</w:t>
            </w:r>
            <w:proofErr w:type="spellEnd"/>
            <w:r w:rsidRPr="001B0744">
              <w:rPr>
                <w:rFonts w:ascii="Times New Roman" w:hAnsi="Times New Roman"/>
                <w:b/>
                <w:bCs/>
                <w:sz w:val="24"/>
                <w:szCs w:val="24"/>
                <w:lang w:val="fr-FR" w:eastAsia="ru-RU"/>
              </w:rPr>
              <w:t xml:space="preserve"> de </w:t>
            </w:r>
            <w:proofErr w:type="spellStart"/>
            <w:r w:rsidRPr="001B0744">
              <w:rPr>
                <w:rFonts w:ascii="Times New Roman" w:hAnsi="Times New Roman"/>
                <w:b/>
                <w:bCs/>
                <w:sz w:val="24"/>
                <w:szCs w:val="24"/>
                <w:lang w:val="fr-FR" w:eastAsia="ru-RU"/>
              </w:rPr>
              <w:t>conducere</w:t>
            </w:r>
            <w:proofErr w:type="spellEnd"/>
            <w:r w:rsidRPr="001B0744">
              <w:rPr>
                <w:rFonts w:ascii="Times New Roman" w:hAnsi="Times New Roman"/>
                <w:b/>
                <w:bCs/>
                <w:sz w:val="24"/>
                <w:szCs w:val="24"/>
                <w:lang w:val="fr-FR" w:eastAsia="ru-RU"/>
              </w:rPr>
              <w:t xml:space="preserve"> (FDP, FPCNS, FPC)</w:t>
            </w:r>
          </w:p>
          <w:p w14:paraId="1031A5E2" w14:textId="68A8A289" w:rsidR="001B0744" w:rsidRPr="001B0744" w:rsidRDefault="001B0744" w:rsidP="0036045D">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2023</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41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(19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22 la CSP)</w:t>
            </w:r>
          </w:p>
          <w:p w14:paraId="5BB58FC3" w14:textId="34ED7914"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2024</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39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(17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22 la CSP)</w:t>
            </w:r>
          </w:p>
          <w:p w14:paraId="5F5922AD" w14:textId="77777777" w:rsidR="001B0744" w:rsidRPr="001B0744" w:rsidRDefault="001B0744" w:rsidP="001B0744">
            <w:pPr>
              <w:ind w:left="1080" w:firstLine="0"/>
              <w:rPr>
                <w:rFonts w:ascii="Times New Roman" w:hAnsi="Times New Roman"/>
                <w:sz w:val="24"/>
                <w:szCs w:val="24"/>
                <w:lang w:val="es-AR" w:eastAsia="ru-RU"/>
              </w:rPr>
            </w:pPr>
            <w:proofErr w:type="spellStart"/>
            <w:r w:rsidRPr="001B0744">
              <w:rPr>
                <w:rFonts w:ascii="Times New Roman" w:hAnsi="Times New Roman"/>
                <w:b/>
                <w:bCs/>
                <w:sz w:val="24"/>
                <w:szCs w:val="24"/>
                <w:lang w:val="es-AR" w:eastAsia="ru-RU"/>
              </w:rPr>
              <w:t>Beneficii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Reducerea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numărului</w:t>
            </w:r>
            <w:proofErr w:type="spellEnd"/>
            <w:r w:rsidRPr="001B0744">
              <w:rPr>
                <w:rFonts w:ascii="Times New Roman" w:hAnsi="Times New Roman"/>
                <w:sz w:val="24"/>
                <w:szCs w:val="24"/>
                <w:lang w:val="es-AR" w:eastAsia="ru-RU"/>
              </w:rPr>
              <w:t xml:space="preserve"> de </w:t>
            </w:r>
            <w:proofErr w:type="spellStart"/>
            <w:r w:rsidRPr="001B0744">
              <w:rPr>
                <w:rFonts w:ascii="Times New Roman" w:hAnsi="Times New Roman"/>
                <w:sz w:val="24"/>
                <w:szCs w:val="24"/>
                <w:lang w:val="es-AR" w:eastAsia="ru-RU"/>
              </w:rPr>
              <w:t>funcționari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publici</w:t>
            </w:r>
            <w:proofErr w:type="spellEnd"/>
            <w:r w:rsidRPr="001B0744">
              <w:rPr>
                <w:rFonts w:ascii="Times New Roman" w:hAnsi="Times New Roman"/>
                <w:sz w:val="24"/>
                <w:szCs w:val="24"/>
                <w:lang w:val="es-AR" w:eastAsia="ru-RU"/>
              </w:rPr>
              <w:t xml:space="preserve"> de </w:t>
            </w:r>
            <w:proofErr w:type="spellStart"/>
            <w:r w:rsidRPr="001B0744">
              <w:rPr>
                <w:rFonts w:ascii="Times New Roman" w:hAnsi="Times New Roman"/>
                <w:sz w:val="24"/>
                <w:szCs w:val="24"/>
                <w:lang w:val="es-AR" w:eastAsia="ru-RU"/>
              </w:rPr>
              <w:t>conducere</w:t>
            </w:r>
            <w:proofErr w:type="spellEnd"/>
            <w:r w:rsidRPr="001B0744">
              <w:rPr>
                <w:rFonts w:ascii="Times New Roman" w:hAnsi="Times New Roman"/>
                <w:sz w:val="24"/>
                <w:szCs w:val="24"/>
                <w:lang w:val="es-AR" w:eastAsia="ru-RU"/>
              </w:rPr>
              <w:t xml:space="preserve"> la </w:t>
            </w:r>
            <w:proofErr w:type="spellStart"/>
            <w:r w:rsidRPr="001B0744">
              <w:rPr>
                <w:rFonts w:ascii="Times New Roman" w:hAnsi="Times New Roman"/>
                <w:sz w:val="24"/>
                <w:szCs w:val="24"/>
                <w:lang w:val="es-AR" w:eastAsia="ru-RU"/>
              </w:rPr>
              <w:t>sediul</w:t>
            </w:r>
            <w:proofErr w:type="spellEnd"/>
            <w:r w:rsidRPr="001B0744">
              <w:rPr>
                <w:rFonts w:ascii="Times New Roman" w:hAnsi="Times New Roman"/>
                <w:sz w:val="24"/>
                <w:szCs w:val="24"/>
                <w:lang w:val="es-AR" w:eastAsia="ru-RU"/>
              </w:rPr>
              <w:t xml:space="preserve"> central va permite o </w:t>
            </w:r>
            <w:proofErr w:type="spellStart"/>
            <w:r w:rsidRPr="001B0744">
              <w:rPr>
                <w:rFonts w:ascii="Times New Roman" w:hAnsi="Times New Roman"/>
                <w:sz w:val="24"/>
                <w:szCs w:val="24"/>
                <w:lang w:val="es-AR" w:eastAsia="ru-RU"/>
              </w:rPr>
              <w:t>mai</w:t>
            </w:r>
            <w:proofErr w:type="spellEnd"/>
            <w:r w:rsidRPr="001B0744">
              <w:rPr>
                <w:rFonts w:ascii="Times New Roman" w:hAnsi="Times New Roman"/>
                <w:sz w:val="24"/>
                <w:szCs w:val="24"/>
                <w:lang w:val="es-AR" w:eastAsia="ru-RU"/>
              </w:rPr>
              <w:t xml:space="preserve"> mare concentrare </w:t>
            </w:r>
            <w:proofErr w:type="spellStart"/>
            <w:r w:rsidRPr="001B0744">
              <w:rPr>
                <w:rFonts w:ascii="Times New Roman" w:hAnsi="Times New Roman"/>
                <w:sz w:val="24"/>
                <w:szCs w:val="24"/>
                <w:lang w:val="es-AR" w:eastAsia="ru-RU"/>
              </w:rPr>
              <w:t>asupra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funcțiilor</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esențiale</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și</w:t>
            </w:r>
            <w:proofErr w:type="spellEnd"/>
            <w:r w:rsidRPr="001B0744">
              <w:rPr>
                <w:rFonts w:ascii="Times New Roman" w:hAnsi="Times New Roman"/>
                <w:sz w:val="24"/>
                <w:szCs w:val="24"/>
                <w:lang w:val="es-AR" w:eastAsia="ru-RU"/>
              </w:rPr>
              <w:t xml:space="preserve"> va </w:t>
            </w:r>
            <w:proofErr w:type="spellStart"/>
            <w:r w:rsidRPr="001B0744">
              <w:rPr>
                <w:rFonts w:ascii="Times New Roman" w:hAnsi="Times New Roman"/>
                <w:sz w:val="24"/>
                <w:szCs w:val="24"/>
                <w:lang w:val="es-AR" w:eastAsia="ru-RU"/>
              </w:rPr>
              <w:t>îmbunătăți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eficiența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proceselor</w:t>
            </w:r>
            <w:proofErr w:type="spellEnd"/>
            <w:r w:rsidRPr="001B0744">
              <w:rPr>
                <w:rFonts w:ascii="Times New Roman" w:hAnsi="Times New Roman"/>
                <w:sz w:val="24"/>
                <w:szCs w:val="24"/>
                <w:lang w:val="es-AR" w:eastAsia="ru-RU"/>
              </w:rPr>
              <w:t xml:space="preserve"> administrative interne.</w:t>
            </w:r>
          </w:p>
          <w:p w14:paraId="799423D5" w14:textId="77777777" w:rsidR="001B0744" w:rsidRPr="001B0744" w:rsidRDefault="001B0744" w:rsidP="001B0744">
            <w:pPr>
              <w:numPr>
                <w:ilvl w:val="0"/>
                <w:numId w:val="53"/>
              </w:numPr>
              <w:jc w:val="left"/>
              <w:rPr>
                <w:rFonts w:ascii="Times New Roman" w:hAnsi="Times New Roman"/>
                <w:sz w:val="24"/>
                <w:szCs w:val="24"/>
                <w:lang w:val="fr-FR" w:eastAsia="ru-RU"/>
              </w:rPr>
            </w:pPr>
            <w:proofErr w:type="spellStart"/>
            <w:r w:rsidRPr="001B0744">
              <w:rPr>
                <w:rFonts w:ascii="Times New Roman" w:hAnsi="Times New Roman"/>
                <w:b/>
                <w:bCs/>
                <w:sz w:val="24"/>
                <w:szCs w:val="24"/>
                <w:lang w:val="fr-FR" w:eastAsia="ru-RU"/>
              </w:rPr>
              <w:t>Funcționari</w:t>
            </w:r>
            <w:proofErr w:type="spellEnd"/>
            <w:r w:rsidRPr="001B0744">
              <w:rPr>
                <w:rFonts w:ascii="Times New Roman" w:hAnsi="Times New Roman"/>
                <w:b/>
                <w:bCs/>
                <w:sz w:val="24"/>
                <w:szCs w:val="24"/>
                <w:lang w:val="fr-FR" w:eastAsia="ru-RU"/>
              </w:rPr>
              <w:t xml:space="preserve"> </w:t>
            </w:r>
            <w:proofErr w:type="spellStart"/>
            <w:r w:rsidRPr="001B0744">
              <w:rPr>
                <w:rFonts w:ascii="Times New Roman" w:hAnsi="Times New Roman"/>
                <w:b/>
                <w:bCs/>
                <w:sz w:val="24"/>
                <w:szCs w:val="24"/>
                <w:lang w:val="fr-FR" w:eastAsia="ru-RU"/>
              </w:rPr>
              <w:t>publici</w:t>
            </w:r>
            <w:proofErr w:type="spellEnd"/>
            <w:r w:rsidRPr="001B0744">
              <w:rPr>
                <w:rFonts w:ascii="Times New Roman" w:hAnsi="Times New Roman"/>
                <w:b/>
                <w:bCs/>
                <w:sz w:val="24"/>
                <w:szCs w:val="24"/>
                <w:lang w:val="fr-FR" w:eastAsia="ru-RU"/>
              </w:rPr>
              <w:t xml:space="preserve"> de </w:t>
            </w:r>
            <w:proofErr w:type="spellStart"/>
            <w:r w:rsidRPr="001B0744">
              <w:rPr>
                <w:rFonts w:ascii="Times New Roman" w:hAnsi="Times New Roman"/>
                <w:b/>
                <w:bCs/>
                <w:sz w:val="24"/>
                <w:szCs w:val="24"/>
                <w:lang w:val="fr-FR" w:eastAsia="ru-RU"/>
              </w:rPr>
              <w:t>execuție</w:t>
            </w:r>
            <w:proofErr w:type="spellEnd"/>
            <w:r w:rsidRPr="001B0744">
              <w:rPr>
                <w:rFonts w:ascii="Times New Roman" w:hAnsi="Times New Roman"/>
                <w:b/>
                <w:bCs/>
                <w:sz w:val="24"/>
                <w:szCs w:val="24"/>
                <w:lang w:val="fr-FR" w:eastAsia="ru-RU"/>
              </w:rPr>
              <w:t xml:space="preserve"> (FPE)</w:t>
            </w:r>
          </w:p>
          <w:p w14:paraId="432F8C2E" w14:textId="6FA6EC70"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2023</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155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(62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93 la CSP)</w:t>
            </w:r>
          </w:p>
          <w:p w14:paraId="12218679" w14:textId="5960E2FE"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2024</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169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(61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108 la CSP)</w:t>
            </w:r>
          </w:p>
          <w:p w14:paraId="2B30878E" w14:textId="77777777" w:rsidR="001B0744" w:rsidRPr="001B0744" w:rsidRDefault="001B0744" w:rsidP="001B0744">
            <w:pPr>
              <w:ind w:left="1080" w:firstLine="0"/>
              <w:rPr>
                <w:rFonts w:ascii="Times New Roman" w:hAnsi="Times New Roman"/>
                <w:sz w:val="24"/>
                <w:szCs w:val="24"/>
                <w:lang w:val="fr-FR" w:eastAsia="ru-RU"/>
              </w:rPr>
            </w:pPr>
            <w:proofErr w:type="spellStart"/>
            <w:proofErr w:type="gramStart"/>
            <w:r w:rsidRPr="001B0744">
              <w:rPr>
                <w:rFonts w:ascii="Times New Roman" w:hAnsi="Times New Roman"/>
                <w:b/>
                <w:bCs/>
                <w:sz w:val="24"/>
                <w:szCs w:val="24"/>
                <w:lang w:val="fr-FR" w:eastAsia="ru-RU"/>
              </w:rPr>
              <w:t>Beneficii</w:t>
            </w:r>
            <w:proofErr w:type="spellEnd"/>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Creșterea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numărului</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funcționari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publici</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execuție</w:t>
            </w:r>
            <w:proofErr w:type="spellEnd"/>
            <w:r w:rsidRPr="001B0744">
              <w:rPr>
                <w:rFonts w:ascii="Times New Roman" w:hAnsi="Times New Roman"/>
                <w:sz w:val="24"/>
                <w:szCs w:val="24"/>
                <w:lang w:val="fr-FR" w:eastAsia="ru-RU"/>
              </w:rPr>
              <w:t xml:space="preserve"> va </w:t>
            </w:r>
            <w:proofErr w:type="spellStart"/>
            <w:r w:rsidRPr="001B0744">
              <w:rPr>
                <w:rFonts w:ascii="Times New Roman" w:hAnsi="Times New Roman"/>
                <w:sz w:val="24"/>
                <w:szCs w:val="24"/>
                <w:lang w:val="fr-FR" w:eastAsia="ru-RU"/>
              </w:rPr>
              <w:t>sprijini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consolidarea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capacităților</w:t>
            </w:r>
            <w:proofErr w:type="spellEnd"/>
            <w:r w:rsidRPr="001B0744">
              <w:rPr>
                <w:rFonts w:ascii="Times New Roman" w:hAnsi="Times New Roman"/>
                <w:sz w:val="24"/>
                <w:szCs w:val="24"/>
                <w:lang w:val="fr-FR" w:eastAsia="ru-RU"/>
              </w:rPr>
              <w:t xml:space="preserve"> locale, </w:t>
            </w:r>
            <w:proofErr w:type="spellStart"/>
            <w:r w:rsidRPr="001B0744">
              <w:rPr>
                <w:rFonts w:ascii="Times New Roman" w:hAnsi="Times New Roman"/>
                <w:sz w:val="24"/>
                <w:szCs w:val="24"/>
                <w:lang w:val="fr-FR" w:eastAsia="ru-RU"/>
              </w:rPr>
              <w:t>în</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special</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în</w:t>
            </w:r>
            <w:proofErr w:type="spellEnd"/>
            <w:r w:rsidRPr="001B0744">
              <w:rPr>
                <w:rFonts w:ascii="Times New Roman" w:hAnsi="Times New Roman"/>
                <w:sz w:val="24"/>
                <w:szCs w:val="24"/>
                <w:lang w:val="fr-FR" w:eastAsia="ru-RU"/>
              </w:rPr>
              <w:t xml:space="preserve"> CSP-</w:t>
            </w:r>
            <w:proofErr w:type="spellStart"/>
            <w:r w:rsidRPr="001B0744">
              <w:rPr>
                <w:rFonts w:ascii="Times New Roman" w:hAnsi="Times New Roman"/>
                <w:sz w:val="24"/>
                <w:szCs w:val="24"/>
                <w:lang w:val="fr-FR" w:eastAsia="ru-RU"/>
              </w:rPr>
              <w:t>uri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îmbunătățind</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astfel</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capacitatea</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răspuns</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și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gestionare</w:t>
            </w:r>
            <w:proofErr w:type="spellEnd"/>
            <w:r w:rsidRPr="001B0744">
              <w:rPr>
                <w:rFonts w:ascii="Times New Roman" w:hAnsi="Times New Roman"/>
                <w:sz w:val="24"/>
                <w:szCs w:val="24"/>
                <w:lang w:val="fr-FR" w:eastAsia="ru-RU"/>
              </w:rPr>
              <w:t xml:space="preserve"> a </w:t>
            </w:r>
            <w:proofErr w:type="spellStart"/>
            <w:r w:rsidRPr="001B0744">
              <w:rPr>
                <w:rFonts w:ascii="Times New Roman" w:hAnsi="Times New Roman"/>
                <w:sz w:val="24"/>
                <w:szCs w:val="24"/>
                <w:lang w:val="fr-FR" w:eastAsia="ru-RU"/>
              </w:rPr>
              <w:t>problemelor</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sănătate</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publică</w:t>
            </w:r>
            <w:proofErr w:type="spellEnd"/>
            <w:r w:rsidRPr="001B0744">
              <w:rPr>
                <w:rFonts w:ascii="Times New Roman" w:hAnsi="Times New Roman"/>
                <w:sz w:val="24"/>
                <w:szCs w:val="24"/>
                <w:lang w:val="fr-FR" w:eastAsia="ru-RU"/>
              </w:rPr>
              <w:t xml:space="preserve"> la </w:t>
            </w:r>
            <w:proofErr w:type="spellStart"/>
            <w:r w:rsidRPr="001B0744">
              <w:rPr>
                <w:rFonts w:ascii="Times New Roman" w:hAnsi="Times New Roman"/>
                <w:sz w:val="24"/>
                <w:szCs w:val="24"/>
                <w:lang w:val="fr-FR" w:eastAsia="ru-RU"/>
              </w:rPr>
              <w:t>nivel</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raional</w:t>
            </w:r>
            <w:proofErr w:type="spellEnd"/>
            <w:r w:rsidRPr="001B0744">
              <w:rPr>
                <w:rFonts w:ascii="Times New Roman" w:hAnsi="Times New Roman"/>
                <w:sz w:val="24"/>
                <w:szCs w:val="24"/>
                <w:lang w:val="fr-FR" w:eastAsia="ru-RU"/>
              </w:rPr>
              <w:t>.</w:t>
            </w:r>
          </w:p>
          <w:p w14:paraId="7FCD23E1" w14:textId="77777777" w:rsidR="001B0744" w:rsidRPr="001B0744" w:rsidRDefault="001B0744" w:rsidP="001B0744">
            <w:pPr>
              <w:numPr>
                <w:ilvl w:val="0"/>
                <w:numId w:val="53"/>
              </w:numPr>
              <w:jc w:val="left"/>
              <w:rPr>
                <w:rFonts w:ascii="Times New Roman" w:hAnsi="Times New Roman"/>
                <w:sz w:val="24"/>
                <w:szCs w:val="24"/>
                <w:lang w:val="ru-RU" w:eastAsia="ru-RU"/>
              </w:rPr>
            </w:pPr>
            <w:r w:rsidRPr="001B0744">
              <w:rPr>
                <w:rFonts w:ascii="Times New Roman" w:hAnsi="Times New Roman"/>
                <w:b/>
                <w:bCs/>
                <w:sz w:val="24"/>
                <w:szCs w:val="24"/>
                <w:lang w:val="ru-RU" w:eastAsia="ru-RU"/>
              </w:rPr>
              <w:t xml:space="preserve">Personal </w:t>
            </w:r>
            <w:proofErr w:type="spellStart"/>
            <w:r w:rsidRPr="001B0744">
              <w:rPr>
                <w:rFonts w:ascii="Times New Roman" w:hAnsi="Times New Roman"/>
                <w:b/>
                <w:bCs/>
                <w:sz w:val="24"/>
                <w:szCs w:val="24"/>
                <w:lang w:val="ru-RU" w:eastAsia="ru-RU"/>
              </w:rPr>
              <w:t>de</w:t>
            </w:r>
            <w:proofErr w:type="spellEnd"/>
            <w:r w:rsidRPr="001B0744">
              <w:rPr>
                <w:rFonts w:ascii="Times New Roman" w:hAnsi="Times New Roman"/>
                <w:b/>
                <w:bCs/>
                <w:sz w:val="24"/>
                <w:szCs w:val="24"/>
                <w:lang w:val="ru-RU" w:eastAsia="ru-RU"/>
              </w:rPr>
              <w:t xml:space="preserve"> </w:t>
            </w:r>
            <w:proofErr w:type="spellStart"/>
            <w:r w:rsidRPr="001B0744">
              <w:rPr>
                <w:rFonts w:ascii="Times New Roman" w:hAnsi="Times New Roman"/>
                <w:b/>
                <w:bCs/>
                <w:sz w:val="24"/>
                <w:szCs w:val="24"/>
                <w:lang w:val="ru-RU" w:eastAsia="ru-RU"/>
              </w:rPr>
              <w:t>specialitate</w:t>
            </w:r>
            <w:proofErr w:type="spellEnd"/>
            <w:r w:rsidRPr="001B0744">
              <w:rPr>
                <w:rFonts w:ascii="Times New Roman" w:hAnsi="Times New Roman"/>
                <w:b/>
                <w:bCs/>
                <w:sz w:val="24"/>
                <w:szCs w:val="24"/>
                <w:lang w:val="ru-RU" w:eastAsia="ru-RU"/>
              </w:rPr>
              <w:t xml:space="preserve"> (PS)</w:t>
            </w:r>
          </w:p>
          <w:p w14:paraId="7BE67202" w14:textId="5F3D06ED"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2023</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1182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(353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829 la CSP)</w:t>
            </w:r>
          </w:p>
          <w:p w14:paraId="52B0BFEB" w14:textId="7BAE1C67"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2024</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1171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(443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728 la CSP)</w:t>
            </w:r>
          </w:p>
          <w:p w14:paraId="61BF8AB0" w14:textId="77777777" w:rsidR="001B0744" w:rsidRPr="001B0744" w:rsidRDefault="001B0744" w:rsidP="001B0744">
            <w:pPr>
              <w:ind w:left="1080" w:firstLine="0"/>
              <w:rPr>
                <w:rFonts w:ascii="Times New Roman" w:hAnsi="Times New Roman"/>
                <w:sz w:val="24"/>
                <w:szCs w:val="24"/>
                <w:lang w:val="es-AR" w:eastAsia="ru-RU"/>
              </w:rPr>
            </w:pPr>
            <w:proofErr w:type="spellStart"/>
            <w:r w:rsidRPr="001B0744">
              <w:rPr>
                <w:rFonts w:ascii="Times New Roman" w:hAnsi="Times New Roman"/>
                <w:b/>
                <w:bCs/>
                <w:sz w:val="24"/>
                <w:szCs w:val="24"/>
                <w:lang w:val="es-AR" w:eastAsia="ru-RU"/>
              </w:rPr>
              <w:t>Beneficii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Redistribuirea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personalului</w:t>
            </w:r>
            <w:proofErr w:type="spellEnd"/>
            <w:r w:rsidRPr="001B0744">
              <w:rPr>
                <w:rFonts w:ascii="Times New Roman" w:hAnsi="Times New Roman"/>
                <w:sz w:val="24"/>
                <w:szCs w:val="24"/>
                <w:lang w:val="es-AR" w:eastAsia="ru-RU"/>
              </w:rPr>
              <w:t xml:space="preserve"> de </w:t>
            </w:r>
            <w:proofErr w:type="spellStart"/>
            <w:r w:rsidRPr="001B0744">
              <w:rPr>
                <w:rFonts w:ascii="Times New Roman" w:hAnsi="Times New Roman"/>
                <w:sz w:val="24"/>
                <w:szCs w:val="24"/>
                <w:lang w:val="es-AR" w:eastAsia="ru-RU"/>
              </w:rPr>
              <w:t>specialitate</w:t>
            </w:r>
            <w:proofErr w:type="spellEnd"/>
            <w:r w:rsidRPr="001B0744">
              <w:rPr>
                <w:rFonts w:ascii="Times New Roman" w:hAnsi="Times New Roman"/>
                <w:sz w:val="24"/>
                <w:szCs w:val="24"/>
                <w:lang w:val="es-AR" w:eastAsia="ru-RU"/>
              </w:rPr>
              <w:t xml:space="preserve"> va </w:t>
            </w:r>
            <w:proofErr w:type="spellStart"/>
            <w:r w:rsidRPr="001B0744">
              <w:rPr>
                <w:rFonts w:ascii="Times New Roman" w:hAnsi="Times New Roman"/>
                <w:sz w:val="24"/>
                <w:szCs w:val="24"/>
                <w:lang w:val="es-AR" w:eastAsia="ru-RU"/>
              </w:rPr>
              <w:t>spori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capacitatea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operativă</w:t>
            </w:r>
            <w:proofErr w:type="spellEnd"/>
            <w:r w:rsidRPr="001B0744">
              <w:rPr>
                <w:rFonts w:ascii="Times New Roman" w:hAnsi="Times New Roman"/>
                <w:sz w:val="24"/>
                <w:szCs w:val="24"/>
                <w:lang w:val="es-AR" w:eastAsia="ru-RU"/>
              </w:rPr>
              <w:t xml:space="preserve"> a </w:t>
            </w:r>
            <w:proofErr w:type="spellStart"/>
            <w:r w:rsidRPr="001B0744">
              <w:rPr>
                <w:rFonts w:ascii="Times New Roman" w:hAnsi="Times New Roman"/>
                <w:sz w:val="24"/>
                <w:szCs w:val="24"/>
                <w:lang w:val="es-AR" w:eastAsia="ru-RU"/>
              </w:rPr>
              <w:t>sediului</w:t>
            </w:r>
            <w:proofErr w:type="spellEnd"/>
            <w:r w:rsidRPr="001B0744">
              <w:rPr>
                <w:rFonts w:ascii="Times New Roman" w:hAnsi="Times New Roman"/>
                <w:sz w:val="24"/>
                <w:szCs w:val="24"/>
                <w:lang w:val="es-AR" w:eastAsia="ru-RU"/>
              </w:rPr>
              <w:t xml:space="preserve"> central </w:t>
            </w:r>
            <w:proofErr w:type="spellStart"/>
            <w:r w:rsidRPr="001B0744">
              <w:rPr>
                <w:rFonts w:ascii="Times New Roman" w:hAnsi="Times New Roman"/>
                <w:sz w:val="24"/>
                <w:szCs w:val="24"/>
                <w:lang w:val="es-AR" w:eastAsia="ru-RU"/>
              </w:rPr>
              <w:t>și</w:t>
            </w:r>
            <w:proofErr w:type="spellEnd"/>
            <w:r w:rsidRPr="001B0744">
              <w:rPr>
                <w:rFonts w:ascii="Times New Roman" w:hAnsi="Times New Roman"/>
                <w:sz w:val="24"/>
                <w:szCs w:val="24"/>
                <w:lang w:val="es-AR" w:eastAsia="ru-RU"/>
              </w:rPr>
              <w:t xml:space="preserve"> va </w:t>
            </w:r>
            <w:proofErr w:type="spellStart"/>
            <w:r w:rsidRPr="001B0744">
              <w:rPr>
                <w:rFonts w:ascii="Times New Roman" w:hAnsi="Times New Roman"/>
                <w:sz w:val="24"/>
                <w:szCs w:val="24"/>
                <w:lang w:val="es-AR" w:eastAsia="ru-RU"/>
              </w:rPr>
              <w:t>asigura</w:t>
            </w:r>
            <w:proofErr w:type="spellEnd"/>
            <w:r w:rsidRPr="001B0744">
              <w:rPr>
                <w:rFonts w:ascii="Times New Roman" w:hAnsi="Times New Roman"/>
                <w:sz w:val="24"/>
                <w:szCs w:val="24"/>
                <w:lang w:val="es-AR" w:eastAsia="ru-RU"/>
              </w:rPr>
              <w:t xml:space="preserve"> o </w:t>
            </w:r>
            <w:proofErr w:type="spellStart"/>
            <w:r w:rsidRPr="001B0744">
              <w:rPr>
                <w:rFonts w:ascii="Times New Roman" w:hAnsi="Times New Roman"/>
                <w:sz w:val="24"/>
                <w:szCs w:val="24"/>
                <w:lang w:val="es-AR" w:eastAsia="ru-RU"/>
              </w:rPr>
              <w:t>mai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bună</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acoperire</w:t>
            </w:r>
            <w:proofErr w:type="spellEnd"/>
            <w:r w:rsidRPr="001B0744">
              <w:rPr>
                <w:rFonts w:ascii="Times New Roman" w:hAnsi="Times New Roman"/>
                <w:sz w:val="24"/>
                <w:szCs w:val="24"/>
                <w:lang w:val="es-AR" w:eastAsia="ru-RU"/>
              </w:rPr>
              <w:t xml:space="preserve"> a </w:t>
            </w:r>
            <w:proofErr w:type="spellStart"/>
            <w:r w:rsidRPr="001B0744">
              <w:rPr>
                <w:rFonts w:ascii="Times New Roman" w:hAnsi="Times New Roman"/>
                <w:sz w:val="24"/>
                <w:szCs w:val="24"/>
                <w:lang w:val="es-AR" w:eastAsia="ru-RU"/>
              </w:rPr>
              <w:t>nevoilor</w:t>
            </w:r>
            <w:proofErr w:type="spellEnd"/>
            <w:r w:rsidRPr="001B0744">
              <w:rPr>
                <w:rFonts w:ascii="Times New Roman" w:hAnsi="Times New Roman"/>
                <w:sz w:val="24"/>
                <w:szCs w:val="24"/>
                <w:lang w:val="es-AR" w:eastAsia="ru-RU"/>
              </w:rPr>
              <w:t xml:space="preserve"> de </w:t>
            </w:r>
            <w:proofErr w:type="spellStart"/>
            <w:r w:rsidRPr="001B0744">
              <w:rPr>
                <w:rFonts w:ascii="Times New Roman" w:hAnsi="Times New Roman"/>
                <w:sz w:val="24"/>
                <w:szCs w:val="24"/>
                <w:lang w:val="es-AR" w:eastAsia="ru-RU"/>
              </w:rPr>
              <w:t>specialitate</w:t>
            </w:r>
            <w:proofErr w:type="spellEnd"/>
            <w:r w:rsidRPr="001B0744">
              <w:rPr>
                <w:rFonts w:ascii="Times New Roman" w:hAnsi="Times New Roman"/>
                <w:sz w:val="24"/>
                <w:szCs w:val="24"/>
                <w:lang w:val="es-AR" w:eastAsia="ru-RU"/>
              </w:rPr>
              <w:t xml:space="preserve"> </w:t>
            </w:r>
            <w:proofErr w:type="spellStart"/>
            <w:proofErr w:type="gramStart"/>
            <w:r w:rsidRPr="001B0744">
              <w:rPr>
                <w:rFonts w:ascii="Times New Roman" w:hAnsi="Times New Roman"/>
                <w:sz w:val="24"/>
                <w:szCs w:val="24"/>
                <w:lang w:val="es-AR" w:eastAsia="ru-RU"/>
              </w:rPr>
              <w:t>la</w:t>
            </w:r>
            <w:proofErr w:type="spellEnd"/>
            <w:r w:rsidRPr="001B0744">
              <w:rPr>
                <w:rFonts w:ascii="Times New Roman" w:hAnsi="Times New Roman"/>
                <w:sz w:val="24"/>
                <w:szCs w:val="24"/>
                <w:lang w:val="es-AR" w:eastAsia="ru-RU"/>
              </w:rPr>
              <w:t xml:space="preserve"> nivel local</w:t>
            </w:r>
            <w:proofErr w:type="gramEnd"/>
            <w:r w:rsidRPr="001B0744">
              <w:rPr>
                <w:rFonts w:ascii="Times New Roman" w:hAnsi="Times New Roman"/>
                <w:sz w:val="24"/>
                <w:szCs w:val="24"/>
                <w:lang w:val="es-AR" w:eastAsia="ru-RU"/>
              </w:rPr>
              <w:t>.</w:t>
            </w:r>
          </w:p>
          <w:p w14:paraId="0C38667F" w14:textId="77777777" w:rsidR="001B0744" w:rsidRPr="001B0744" w:rsidRDefault="001B0744" w:rsidP="001B0744">
            <w:pPr>
              <w:numPr>
                <w:ilvl w:val="0"/>
                <w:numId w:val="53"/>
              </w:numPr>
              <w:jc w:val="left"/>
              <w:rPr>
                <w:rFonts w:ascii="Times New Roman" w:hAnsi="Times New Roman"/>
                <w:sz w:val="24"/>
                <w:szCs w:val="24"/>
                <w:lang w:val="ru-RU" w:eastAsia="ru-RU"/>
              </w:rPr>
            </w:pPr>
            <w:r w:rsidRPr="001B0744">
              <w:rPr>
                <w:rFonts w:ascii="Times New Roman" w:hAnsi="Times New Roman"/>
                <w:b/>
                <w:bCs/>
                <w:sz w:val="24"/>
                <w:szCs w:val="24"/>
                <w:lang w:val="ru-RU" w:eastAsia="ru-RU"/>
              </w:rPr>
              <w:t xml:space="preserve">Personal </w:t>
            </w:r>
            <w:proofErr w:type="spellStart"/>
            <w:r w:rsidRPr="001B0744">
              <w:rPr>
                <w:rFonts w:ascii="Times New Roman" w:hAnsi="Times New Roman"/>
                <w:b/>
                <w:bCs/>
                <w:sz w:val="24"/>
                <w:szCs w:val="24"/>
                <w:lang w:val="ru-RU" w:eastAsia="ru-RU"/>
              </w:rPr>
              <w:t>auxiliar</w:t>
            </w:r>
            <w:proofErr w:type="spellEnd"/>
            <w:r w:rsidRPr="001B0744">
              <w:rPr>
                <w:rFonts w:ascii="Times New Roman" w:hAnsi="Times New Roman"/>
                <w:b/>
                <w:bCs/>
                <w:sz w:val="24"/>
                <w:szCs w:val="24"/>
                <w:lang w:val="ru-RU" w:eastAsia="ru-RU"/>
              </w:rPr>
              <w:t xml:space="preserve"> (PA)</w:t>
            </w:r>
          </w:p>
          <w:p w14:paraId="6AC0C078" w14:textId="36B7BB7E"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2023</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173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(41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132 la CSP)</w:t>
            </w:r>
          </w:p>
          <w:p w14:paraId="7FA4AD7B" w14:textId="4B92FCA6"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2024</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172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(38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134 la CSP)</w:t>
            </w:r>
          </w:p>
          <w:p w14:paraId="6BA04B7B" w14:textId="77777777" w:rsidR="001B0744" w:rsidRPr="001B0744" w:rsidRDefault="001B0744" w:rsidP="001B0744">
            <w:pPr>
              <w:ind w:left="1080" w:firstLine="0"/>
              <w:rPr>
                <w:rFonts w:ascii="Times New Roman" w:hAnsi="Times New Roman"/>
                <w:sz w:val="24"/>
                <w:szCs w:val="24"/>
                <w:lang w:val="es-AR" w:eastAsia="ru-RU"/>
              </w:rPr>
            </w:pPr>
            <w:proofErr w:type="spellStart"/>
            <w:r w:rsidRPr="001B0744">
              <w:rPr>
                <w:rFonts w:ascii="Times New Roman" w:hAnsi="Times New Roman"/>
                <w:b/>
                <w:bCs/>
                <w:sz w:val="24"/>
                <w:szCs w:val="24"/>
                <w:lang w:val="es-AR" w:eastAsia="ru-RU"/>
              </w:rPr>
              <w:t>Beneficii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Reducerea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personalului</w:t>
            </w:r>
            <w:proofErr w:type="spellEnd"/>
            <w:r w:rsidRPr="001B0744">
              <w:rPr>
                <w:rFonts w:ascii="Times New Roman" w:hAnsi="Times New Roman"/>
                <w:sz w:val="24"/>
                <w:szCs w:val="24"/>
                <w:lang w:val="es-AR" w:eastAsia="ru-RU"/>
              </w:rPr>
              <w:t xml:space="preserve"> auxiliar la </w:t>
            </w:r>
            <w:proofErr w:type="spellStart"/>
            <w:r w:rsidRPr="001B0744">
              <w:rPr>
                <w:rFonts w:ascii="Times New Roman" w:hAnsi="Times New Roman"/>
                <w:sz w:val="24"/>
                <w:szCs w:val="24"/>
                <w:lang w:val="es-AR" w:eastAsia="ru-RU"/>
              </w:rPr>
              <w:t>sediul</w:t>
            </w:r>
            <w:proofErr w:type="spellEnd"/>
            <w:r w:rsidRPr="001B0744">
              <w:rPr>
                <w:rFonts w:ascii="Times New Roman" w:hAnsi="Times New Roman"/>
                <w:sz w:val="24"/>
                <w:szCs w:val="24"/>
                <w:lang w:val="es-AR" w:eastAsia="ru-RU"/>
              </w:rPr>
              <w:t xml:space="preserve"> central, dar </w:t>
            </w:r>
            <w:proofErr w:type="spellStart"/>
            <w:r w:rsidRPr="001B0744">
              <w:rPr>
                <w:rFonts w:ascii="Times New Roman" w:hAnsi="Times New Roman"/>
                <w:sz w:val="24"/>
                <w:szCs w:val="24"/>
                <w:lang w:val="es-AR" w:eastAsia="ru-RU"/>
              </w:rPr>
              <w:t>cu</w:t>
            </w:r>
            <w:proofErr w:type="spellEnd"/>
            <w:r w:rsidRPr="001B0744">
              <w:rPr>
                <w:rFonts w:ascii="Times New Roman" w:hAnsi="Times New Roman"/>
                <w:sz w:val="24"/>
                <w:szCs w:val="24"/>
                <w:lang w:val="es-AR" w:eastAsia="ru-RU"/>
              </w:rPr>
              <w:t xml:space="preserve"> o </w:t>
            </w:r>
            <w:proofErr w:type="spellStart"/>
            <w:r w:rsidRPr="001B0744">
              <w:rPr>
                <w:rFonts w:ascii="Times New Roman" w:hAnsi="Times New Roman"/>
                <w:sz w:val="24"/>
                <w:szCs w:val="24"/>
                <w:lang w:val="es-AR" w:eastAsia="ru-RU"/>
              </w:rPr>
              <w:t>creștere</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în</w:t>
            </w:r>
            <w:proofErr w:type="spellEnd"/>
            <w:r w:rsidRPr="001B0744">
              <w:rPr>
                <w:rFonts w:ascii="Times New Roman" w:hAnsi="Times New Roman"/>
                <w:sz w:val="24"/>
                <w:szCs w:val="24"/>
                <w:lang w:val="es-AR" w:eastAsia="ru-RU"/>
              </w:rPr>
              <w:t xml:space="preserve"> CSP-</w:t>
            </w:r>
            <w:proofErr w:type="spellStart"/>
            <w:r w:rsidRPr="001B0744">
              <w:rPr>
                <w:rFonts w:ascii="Times New Roman" w:hAnsi="Times New Roman"/>
                <w:sz w:val="24"/>
                <w:szCs w:val="24"/>
                <w:lang w:val="es-AR" w:eastAsia="ru-RU"/>
              </w:rPr>
              <w:t>uri</w:t>
            </w:r>
            <w:proofErr w:type="spellEnd"/>
            <w:r w:rsidRPr="001B0744">
              <w:rPr>
                <w:rFonts w:ascii="Times New Roman" w:hAnsi="Times New Roman"/>
                <w:sz w:val="24"/>
                <w:szCs w:val="24"/>
                <w:lang w:val="es-AR" w:eastAsia="ru-RU"/>
              </w:rPr>
              <w:t xml:space="preserve">, va </w:t>
            </w:r>
            <w:proofErr w:type="spellStart"/>
            <w:r w:rsidRPr="001B0744">
              <w:rPr>
                <w:rFonts w:ascii="Times New Roman" w:hAnsi="Times New Roman"/>
                <w:sz w:val="24"/>
                <w:szCs w:val="24"/>
                <w:lang w:val="es-AR" w:eastAsia="ru-RU"/>
              </w:rPr>
              <w:t>asigura</w:t>
            </w:r>
            <w:proofErr w:type="spellEnd"/>
            <w:r w:rsidRPr="001B0744">
              <w:rPr>
                <w:rFonts w:ascii="Times New Roman" w:hAnsi="Times New Roman"/>
                <w:sz w:val="24"/>
                <w:szCs w:val="24"/>
                <w:lang w:val="es-AR" w:eastAsia="ru-RU"/>
              </w:rPr>
              <w:t xml:space="preserve"> o </w:t>
            </w:r>
            <w:proofErr w:type="spellStart"/>
            <w:r w:rsidRPr="001B0744">
              <w:rPr>
                <w:rFonts w:ascii="Times New Roman" w:hAnsi="Times New Roman"/>
                <w:sz w:val="24"/>
                <w:szCs w:val="24"/>
                <w:lang w:val="es-AR" w:eastAsia="ru-RU"/>
              </w:rPr>
              <w:t>mai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bună</w:t>
            </w:r>
            <w:proofErr w:type="spellEnd"/>
            <w:r w:rsidRPr="001B0744">
              <w:rPr>
                <w:rFonts w:ascii="Times New Roman" w:hAnsi="Times New Roman"/>
                <w:sz w:val="24"/>
                <w:szCs w:val="24"/>
                <w:lang w:val="es-AR" w:eastAsia="ru-RU"/>
              </w:rPr>
              <w:t xml:space="preserve"> gestionare a </w:t>
            </w:r>
            <w:proofErr w:type="spellStart"/>
            <w:r w:rsidRPr="001B0744">
              <w:rPr>
                <w:rFonts w:ascii="Times New Roman" w:hAnsi="Times New Roman"/>
                <w:sz w:val="24"/>
                <w:szCs w:val="24"/>
                <w:lang w:val="es-AR" w:eastAsia="ru-RU"/>
              </w:rPr>
              <w:t>resurselor</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și</w:t>
            </w:r>
            <w:proofErr w:type="spellEnd"/>
            <w:r w:rsidRPr="001B0744">
              <w:rPr>
                <w:rFonts w:ascii="Times New Roman" w:hAnsi="Times New Roman"/>
                <w:sz w:val="24"/>
                <w:szCs w:val="24"/>
                <w:lang w:val="es-AR" w:eastAsia="ru-RU"/>
              </w:rPr>
              <w:t xml:space="preserve"> va </w:t>
            </w:r>
            <w:proofErr w:type="spellStart"/>
            <w:r w:rsidRPr="001B0744">
              <w:rPr>
                <w:rFonts w:ascii="Times New Roman" w:hAnsi="Times New Roman"/>
                <w:sz w:val="24"/>
                <w:szCs w:val="24"/>
                <w:lang w:val="es-AR" w:eastAsia="ru-RU"/>
              </w:rPr>
              <w:t>sprijini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eficientizarea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activităților</w:t>
            </w:r>
            <w:proofErr w:type="spellEnd"/>
            <w:r w:rsidRPr="001B0744">
              <w:rPr>
                <w:rFonts w:ascii="Times New Roman" w:hAnsi="Times New Roman"/>
                <w:sz w:val="24"/>
                <w:szCs w:val="24"/>
                <w:lang w:val="es-AR" w:eastAsia="ru-RU"/>
              </w:rPr>
              <w:t xml:space="preserve"> administrative </w:t>
            </w:r>
            <w:proofErr w:type="spellStart"/>
            <w:r w:rsidRPr="001B0744">
              <w:rPr>
                <w:rFonts w:ascii="Times New Roman" w:hAnsi="Times New Roman"/>
                <w:sz w:val="24"/>
                <w:szCs w:val="24"/>
                <w:lang w:val="es-AR" w:eastAsia="ru-RU"/>
              </w:rPr>
              <w:t>locale</w:t>
            </w:r>
            <w:proofErr w:type="spellEnd"/>
            <w:r w:rsidRPr="001B0744">
              <w:rPr>
                <w:rFonts w:ascii="Times New Roman" w:hAnsi="Times New Roman"/>
                <w:sz w:val="24"/>
                <w:szCs w:val="24"/>
                <w:lang w:val="es-AR" w:eastAsia="ru-RU"/>
              </w:rPr>
              <w:t>.</w:t>
            </w:r>
          </w:p>
          <w:p w14:paraId="7F7C9B00" w14:textId="77777777" w:rsidR="001B0744" w:rsidRPr="001B0744" w:rsidRDefault="001B0744" w:rsidP="001B0744">
            <w:pPr>
              <w:numPr>
                <w:ilvl w:val="0"/>
                <w:numId w:val="53"/>
              </w:numPr>
              <w:jc w:val="left"/>
              <w:rPr>
                <w:rFonts w:ascii="Times New Roman" w:hAnsi="Times New Roman"/>
                <w:sz w:val="24"/>
                <w:szCs w:val="24"/>
                <w:lang w:val="fr-FR" w:eastAsia="ru-RU"/>
              </w:rPr>
            </w:pPr>
            <w:proofErr w:type="spellStart"/>
            <w:r w:rsidRPr="001B0744">
              <w:rPr>
                <w:rFonts w:ascii="Times New Roman" w:hAnsi="Times New Roman"/>
                <w:b/>
                <w:bCs/>
                <w:sz w:val="24"/>
                <w:szCs w:val="24"/>
                <w:lang w:val="fr-FR" w:eastAsia="ru-RU"/>
              </w:rPr>
              <w:t>Personal</w:t>
            </w:r>
            <w:proofErr w:type="spellEnd"/>
            <w:r w:rsidRPr="001B0744">
              <w:rPr>
                <w:rFonts w:ascii="Times New Roman" w:hAnsi="Times New Roman"/>
                <w:b/>
                <w:bCs/>
                <w:sz w:val="24"/>
                <w:szCs w:val="24"/>
                <w:lang w:val="fr-FR" w:eastAsia="ru-RU"/>
              </w:rPr>
              <w:t xml:space="preserve"> de </w:t>
            </w:r>
            <w:proofErr w:type="spellStart"/>
            <w:r w:rsidRPr="001B0744">
              <w:rPr>
                <w:rFonts w:ascii="Times New Roman" w:hAnsi="Times New Roman"/>
                <w:b/>
                <w:bCs/>
                <w:sz w:val="24"/>
                <w:szCs w:val="24"/>
                <w:lang w:val="fr-FR" w:eastAsia="ru-RU"/>
              </w:rPr>
              <w:t>deservire</w:t>
            </w:r>
            <w:proofErr w:type="spellEnd"/>
            <w:r w:rsidRPr="001B0744">
              <w:rPr>
                <w:rFonts w:ascii="Times New Roman" w:hAnsi="Times New Roman"/>
                <w:b/>
                <w:bCs/>
                <w:sz w:val="24"/>
                <w:szCs w:val="24"/>
                <w:lang w:val="fr-FR" w:eastAsia="ru-RU"/>
              </w:rPr>
              <w:t xml:space="preserve"> </w:t>
            </w:r>
            <w:proofErr w:type="spellStart"/>
            <w:r w:rsidRPr="001B0744">
              <w:rPr>
                <w:rFonts w:ascii="Times New Roman" w:hAnsi="Times New Roman"/>
                <w:b/>
                <w:bCs/>
                <w:sz w:val="24"/>
                <w:szCs w:val="24"/>
                <w:lang w:val="fr-FR" w:eastAsia="ru-RU"/>
              </w:rPr>
              <w:t>tehnică</w:t>
            </w:r>
            <w:proofErr w:type="spellEnd"/>
            <w:r w:rsidRPr="001B0744">
              <w:rPr>
                <w:rFonts w:ascii="Times New Roman" w:hAnsi="Times New Roman"/>
                <w:b/>
                <w:bCs/>
                <w:sz w:val="24"/>
                <w:szCs w:val="24"/>
                <w:lang w:val="fr-FR" w:eastAsia="ru-RU"/>
              </w:rPr>
              <w:t xml:space="preserve"> (PDT)</w:t>
            </w:r>
          </w:p>
          <w:p w14:paraId="6A534FCD" w14:textId="6D89859F"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2023</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72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(10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62 la CSP)</w:t>
            </w:r>
          </w:p>
          <w:p w14:paraId="19294E9B" w14:textId="321D48C2"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2024</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76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(7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69 la CSP)</w:t>
            </w:r>
          </w:p>
          <w:p w14:paraId="60B94FB2" w14:textId="77777777" w:rsidR="001B0744" w:rsidRPr="001B0744" w:rsidRDefault="001B0744" w:rsidP="001B0744">
            <w:pPr>
              <w:ind w:left="1080" w:firstLine="0"/>
              <w:rPr>
                <w:rFonts w:ascii="Times New Roman" w:hAnsi="Times New Roman"/>
                <w:sz w:val="24"/>
                <w:szCs w:val="24"/>
                <w:lang w:val="fr-FR" w:eastAsia="ru-RU"/>
              </w:rPr>
            </w:pPr>
            <w:proofErr w:type="spellStart"/>
            <w:proofErr w:type="gramStart"/>
            <w:r w:rsidRPr="001B0744">
              <w:rPr>
                <w:rFonts w:ascii="Times New Roman" w:hAnsi="Times New Roman"/>
                <w:b/>
                <w:bCs/>
                <w:sz w:val="24"/>
                <w:szCs w:val="24"/>
                <w:lang w:val="fr-FR" w:eastAsia="ru-RU"/>
              </w:rPr>
              <w:t>Beneficii</w:t>
            </w:r>
            <w:proofErr w:type="spellEnd"/>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Creșterea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numărului</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personal</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tehnic</w:t>
            </w:r>
            <w:proofErr w:type="spellEnd"/>
            <w:r w:rsidRPr="001B0744">
              <w:rPr>
                <w:rFonts w:ascii="Times New Roman" w:hAnsi="Times New Roman"/>
                <w:sz w:val="24"/>
                <w:szCs w:val="24"/>
                <w:lang w:val="fr-FR" w:eastAsia="ru-RU"/>
              </w:rPr>
              <w:t xml:space="preserve"> va </w:t>
            </w:r>
            <w:proofErr w:type="spellStart"/>
            <w:r w:rsidRPr="001B0744">
              <w:rPr>
                <w:rFonts w:ascii="Times New Roman" w:hAnsi="Times New Roman"/>
                <w:sz w:val="24"/>
                <w:szCs w:val="24"/>
                <w:lang w:val="fr-FR" w:eastAsia="ru-RU"/>
              </w:rPr>
              <w:t>sprijini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îmbunătățirea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infrastructurii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și</w:t>
            </w:r>
            <w:proofErr w:type="spellEnd"/>
            <w:r w:rsidRPr="001B0744">
              <w:rPr>
                <w:rFonts w:ascii="Times New Roman" w:hAnsi="Times New Roman"/>
                <w:sz w:val="24"/>
                <w:szCs w:val="24"/>
                <w:lang w:val="fr-FR" w:eastAsia="ru-RU"/>
              </w:rPr>
              <w:t xml:space="preserve"> a </w:t>
            </w:r>
            <w:proofErr w:type="spellStart"/>
            <w:r w:rsidRPr="001B0744">
              <w:rPr>
                <w:rFonts w:ascii="Times New Roman" w:hAnsi="Times New Roman"/>
                <w:sz w:val="24"/>
                <w:szCs w:val="24"/>
                <w:lang w:val="fr-FR" w:eastAsia="ru-RU"/>
              </w:rPr>
              <w:t>echipamentelor</w:t>
            </w:r>
            <w:proofErr w:type="spellEnd"/>
            <w:r w:rsidRPr="001B0744">
              <w:rPr>
                <w:rFonts w:ascii="Times New Roman" w:hAnsi="Times New Roman"/>
                <w:sz w:val="24"/>
                <w:szCs w:val="24"/>
                <w:lang w:val="fr-FR" w:eastAsia="ru-RU"/>
              </w:rPr>
              <w:t xml:space="preserve">, aspect </w:t>
            </w:r>
            <w:proofErr w:type="spellStart"/>
            <w:r w:rsidRPr="001B0744">
              <w:rPr>
                <w:rFonts w:ascii="Times New Roman" w:hAnsi="Times New Roman"/>
                <w:sz w:val="24"/>
                <w:szCs w:val="24"/>
                <w:lang w:val="fr-FR" w:eastAsia="ru-RU"/>
              </w:rPr>
              <w:t>esențial</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pentru</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menținerea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unui</w:t>
            </w:r>
            <w:proofErr w:type="spellEnd"/>
            <w:r w:rsidRPr="001B0744">
              <w:rPr>
                <w:rFonts w:ascii="Times New Roman" w:hAnsi="Times New Roman"/>
                <w:sz w:val="24"/>
                <w:szCs w:val="24"/>
                <w:lang w:val="fr-FR" w:eastAsia="ru-RU"/>
              </w:rPr>
              <w:t xml:space="preserve"> standard </w:t>
            </w:r>
            <w:proofErr w:type="spellStart"/>
            <w:r w:rsidRPr="001B0744">
              <w:rPr>
                <w:rFonts w:ascii="Times New Roman" w:hAnsi="Times New Roman"/>
                <w:sz w:val="24"/>
                <w:szCs w:val="24"/>
                <w:lang w:val="fr-FR" w:eastAsia="ru-RU"/>
              </w:rPr>
              <w:t>ridicat</w:t>
            </w:r>
            <w:proofErr w:type="spellEnd"/>
            <w:r w:rsidRPr="001B0744">
              <w:rPr>
                <w:rFonts w:ascii="Times New Roman" w:hAnsi="Times New Roman"/>
                <w:sz w:val="24"/>
                <w:szCs w:val="24"/>
                <w:lang w:val="fr-FR" w:eastAsia="ru-RU"/>
              </w:rPr>
              <w:t xml:space="preserve"> al </w:t>
            </w:r>
            <w:proofErr w:type="spellStart"/>
            <w:r w:rsidRPr="001B0744">
              <w:rPr>
                <w:rFonts w:ascii="Times New Roman" w:hAnsi="Times New Roman"/>
                <w:sz w:val="24"/>
                <w:szCs w:val="24"/>
                <w:lang w:val="fr-FR" w:eastAsia="ru-RU"/>
              </w:rPr>
              <w:t>serviciilor</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oferite</w:t>
            </w:r>
            <w:proofErr w:type="spellEnd"/>
            <w:r w:rsidRPr="001B0744">
              <w:rPr>
                <w:rFonts w:ascii="Times New Roman" w:hAnsi="Times New Roman"/>
                <w:sz w:val="24"/>
                <w:szCs w:val="24"/>
                <w:lang w:val="fr-FR" w:eastAsia="ru-RU"/>
              </w:rPr>
              <w:t>.</w:t>
            </w:r>
          </w:p>
          <w:p w14:paraId="40335321" w14:textId="77777777" w:rsidR="001B0744" w:rsidRPr="001B0744" w:rsidRDefault="001B0744" w:rsidP="001B0744">
            <w:pPr>
              <w:numPr>
                <w:ilvl w:val="0"/>
                <w:numId w:val="53"/>
              </w:numPr>
              <w:jc w:val="left"/>
              <w:rPr>
                <w:rFonts w:ascii="Times New Roman" w:hAnsi="Times New Roman"/>
                <w:sz w:val="24"/>
                <w:szCs w:val="24"/>
                <w:lang w:val="ru-RU" w:eastAsia="ru-RU"/>
              </w:rPr>
            </w:pPr>
            <w:r w:rsidRPr="001B0744">
              <w:rPr>
                <w:rFonts w:ascii="Times New Roman" w:hAnsi="Times New Roman"/>
                <w:b/>
                <w:bCs/>
                <w:sz w:val="24"/>
                <w:szCs w:val="24"/>
                <w:lang w:val="ru-RU" w:eastAsia="ru-RU"/>
              </w:rPr>
              <w:t>Total Personal</w:t>
            </w:r>
          </w:p>
          <w:p w14:paraId="0C08EF4F" w14:textId="5E597D70" w:rsidR="001B0744" w:rsidRP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2023</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1623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(485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1138 la CSP)</w:t>
            </w:r>
          </w:p>
          <w:p w14:paraId="4DD166C4" w14:textId="15BBAD62" w:rsidR="001B0744" w:rsidRDefault="001B0744" w:rsidP="001B0744">
            <w:pPr>
              <w:numPr>
                <w:ilvl w:val="1"/>
                <w:numId w:val="53"/>
              </w:numPr>
              <w:jc w:val="left"/>
              <w:rPr>
                <w:rFonts w:ascii="Times New Roman" w:hAnsi="Times New Roman"/>
                <w:sz w:val="24"/>
                <w:szCs w:val="24"/>
                <w:lang w:val="fr-FR" w:eastAsia="ru-RU"/>
              </w:rPr>
            </w:pPr>
            <w:proofErr w:type="gramStart"/>
            <w:r w:rsidRPr="001B0744">
              <w:rPr>
                <w:rFonts w:ascii="Times New Roman" w:hAnsi="Times New Roman"/>
                <w:b/>
                <w:bCs/>
                <w:sz w:val="24"/>
                <w:szCs w:val="24"/>
                <w:lang w:val="fr-FR" w:eastAsia="ru-RU"/>
              </w:rPr>
              <w:t>2024</w:t>
            </w:r>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1627 </w:t>
            </w:r>
            <w:proofErr w:type="spellStart"/>
            <w:r w:rsidR="0036045D" w:rsidRPr="0036045D">
              <w:rPr>
                <w:rFonts w:ascii="Times New Roman" w:hAnsi="Times New Roman"/>
                <w:sz w:val="24"/>
                <w:szCs w:val="24"/>
                <w:lang w:eastAsia="ru-RU"/>
              </w:rPr>
              <w:t>unități</w:t>
            </w:r>
            <w:proofErr w:type="spellEnd"/>
            <w:r w:rsidR="0036045D" w:rsidRPr="0036045D">
              <w:rPr>
                <w:rFonts w:ascii="Times New Roman" w:hAnsi="Times New Roman"/>
                <w:sz w:val="24"/>
                <w:szCs w:val="24"/>
                <w:lang w:val="fr-FR" w:eastAsia="ru-RU"/>
              </w:rPr>
              <w:t xml:space="preserve"> </w:t>
            </w:r>
            <w:r w:rsidRPr="001B0744">
              <w:rPr>
                <w:rFonts w:ascii="Times New Roman" w:hAnsi="Times New Roman"/>
                <w:sz w:val="24"/>
                <w:szCs w:val="24"/>
                <w:lang w:val="fr-FR" w:eastAsia="ru-RU"/>
              </w:rPr>
              <w:t xml:space="preserve">(566 la </w:t>
            </w:r>
            <w:proofErr w:type="spellStart"/>
            <w:r w:rsidRPr="001B0744">
              <w:rPr>
                <w:rFonts w:ascii="Times New Roman" w:hAnsi="Times New Roman"/>
                <w:sz w:val="24"/>
                <w:szCs w:val="24"/>
                <w:lang w:val="fr-FR" w:eastAsia="ru-RU"/>
              </w:rPr>
              <w:t>sediul</w:t>
            </w:r>
            <w:proofErr w:type="spellEnd"/>
            <w:r w:rsidRPr="001B0744">
              <w:rPr>
                <w:rFonts w:ascii="Times New Roman" w:hAnsi="Times New Roman"/>
                <w:sz w:val="24"/>
                <w:szCs w:val="24"/>
                <w:lang w:val="fr-FR" w:eastAsia="ru-RU"/>
              </w:rPr>
              <w:t xml:space="preserve"> central, 1061 la CSP)</w:t>
            </w:r>
            <w:r w:rsidR="008036DB">
              <w:rPr>
                <w:rFonts w:ascii="Times New Roman" w:hAnsi="Times New Roman"/>
                <w:sz w:val="24"/>
                <w:szCs w:val="24"/>
                <w:lang w:val="fr-FR" w:eastAsia="ru-RU"/>
              </w:rPr>
              <w:t>.</w:t>
            </w:r>
          </w:p>
          <w:p w14:paraId="37A3131C" w14:textId="77777777" w:rsidR="008036DB" w:rsidRPr="001B0744" w:rsidRDefault="008036DB" w:rsidP="008036DB">
            <w:pPr>
              <w:ind w:left="1080" w:firstLine="0"/>
              <w:jc w:val="left"/>
              <w:rPr>
                <w:rFonts w:ascii="Times New Roman" w:hAnsi="Times New Roman"/>
                <w:sz w:val="24"/>
                <w:szCs w:val="24"/>
                <w:lang w:val="fr-FR" w:eastAsia="ru-RU"/>
              </w:rPr>
            </w:pPr>
          </w:p>
          <w:p w14:paraId="75604876" w14:textId="0780A607" w:rsidR="001B0744" w:rsidRPr="001B0744" w:rsidRDefault="001B0744" w:rsidP="001B0744">
            <w:pPr>
              <w:ind w:firstLine="381"/>
              <w:rPr>
                <w:rFonts w:ascii="Times New Roman" w:hAnsi="Times New Roman"/>
                <w:sz w:val="24"/>
                <w:szCs w:val="24"/>
                <w:lang w:val="ro-RO"/>
              </w:rPr>
            </w:pPr>
            <w:proofErr w:type="spellStart"/>
            <w:proofErr w:type="gramStart"/>
            <w:r w:rsidRPr="001B0744">
              <w:rPr>
                <w:rFonts w:ascii="Times New Roman" w:hAnsi="Times New Roman"/>
                <w:b/>
                <w:bCs/>
                <w:sz w:val="24"/>
                <w:szCs w:val="24"/>
                <w:lang w:val="fr-FR" w:eastAsia="ru-RU"/>
              </w:rPr>
              <w:t>Beneficii</w:t>
            </w:r>
            <w:proofErr w:type="spellEnd"/>
            <w:r w:rsidRPr="001B0744">
              <w:rPr>
                <w:rFonts w:ascii="Times New Roman" w:hAnsi="Times New Roman"/>
                <w:sz w:val="24"/>
                <w:szCs w:val="24"/>
                <w:lang w:val="fr-FR" w:eastAsia="ru-RU"/>
              </w:rPr>
              <w:t>:</w:t>
            </w:r>
            <w:proofErr w:type="gram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Creșterea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totalului</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personal</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inclusiv</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redistribuirea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funcționarilor</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publici</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execuție</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către</w:t>
            </w:r>
            <w:proofErr w:type="spellEnd"/>
            <w:r w:rsidRPr="001B0744">
              <w:rPr>
                <w:rFonts w:ascii="Times New Roman" w:hAnsi="Times New Roman"/>
                <w:sz w:val="24"/>
                <w:szCs w:val="24"/>
                <w:lang w:val="fr-FR" w:eastAsia="ru-RU"/>
              </w:rPr>
              <w:t xml:space="preserve"> CSP-</w:t>
            </w:r>
            <w:proofErr w:type="spellStart"/>
            <w:r w:rsidRPr="001B0744">
              <w:rPr>
                <w:rFonts w:ascii="Times New Roman" w:hAnsi="Times New Roman"/>
                <w:sz w:val="24"/>
                <w:szCs w:val="24"/>
                <w:lang w:val="fr-FR" w:eastAsia="ru-RU"/>
              </w:rPr>
              <w:t>uri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reflectă</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angajamentul</w:t>
            </w:r>
            <w:proofErr w:type="spellEnd"/>
            <w:r w:rsidRPr="001B0744">
              <w:rPr>
                <w:rFonts w:ascii="Times New Roman" w:hAnsi="Times New Roman"/>
                <w:sz w:val="24"/>
                <w:szCs w:val="24"/>
                <w:lang w:val="fr-FR" w:eastAsia="ru-RU"/>
              </w:rPr>
              <w:t xml:space="preserve"> ANSP de a </w:t>
            </w:r>
            <w:proofErr w:type="spellStart"/>
            <w:r w:rsidRPr="001B0744">
              <w:rPr>
                <w:rFonts w:ascii="Times New Roman" w:hAnsi="Times New Roman"/>
                <w:sz w:val="24"/>
                <w:szCs w:val="24"/>
                <w:lang w:val="fr-FR" w:eastAsia="ru-RU"/>
              </w:rPr>
              <w:t>întări</w:t>
            </w:r>
            <w:proofErr w:type="spellEnd"/>
            <w:r w:rsidRPr="001B0744">
              <w:rPr>
                <w:rFonts w:ascii="Times New Roman" w:hAnsi="Times New Roman"/>
                <w:sz w:val="24"/>
                <w:szCs w:val="24"/>
                <w:lang w:val="fr-FR" w:eastAsia="ru-RU"/>
              </w:rPr>
              <w:t xml:space="preserve"> structura </w:t>
            </w:r>
            <w:proofErr w:type="spellStart"/>
            <w:r w:rsidRPr="001B0744">
              <w:rPr>
                <w:rFonts w:ascii="Times New Roman" w:hAnsi="Times New Roman"/>
                <w:sz w:val="24"/>
                <w:szCs w:val="24"/>
                <w:lang w:val="fr-FR" w:eastAsia="ru-RU"/>
              </w:rPr>
              <w:t>locală</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îmbunătățind</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eficiența</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și</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capacitatea</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răspuns</w:t>
            </w:r>
            <w:proofErr w:type="spellEnd"/>
            <w:r w:rsidRPr="001B0744">
              <w:rPr>
                <w:rFonts w:ascii="Times New Roman" w:hAnsi="Times New Roman"/>
                <w:sz w:val="24"/>
                <w:szCs w:val="24"/>
                <w:lang w:val="fr-FR" w:eastAsia="ru-RU"/>
              </w:rPr>
              <w:t xml:space="preserve"> la </w:t>
            </w:r>
            <w:proofErr w:type="spellStart"/>
            <w:r w:rsidRPr="001B0744">
              <w:rPr>
                <w:rFonts w:ascii="Times New Roman" w:hAnsi="Times New Roman"/>
                <w:sz w:val="24"/>
                <w:szCs w:val="24"/>
                <w:lang w:val="fr-FR" w:eastAsia="ru-RU"/>
              </w:rPr>
              <w:t>problemele</w:t>
            </w:r>
            <w:proofErr w:type="spellEnd"/>
            <w:r w:rsidRPr="001B0744">
              <w:rPr>
                <w:rFonts w:ascii="Times New Roman" w:hAnsi="Times New Roman"/>
                <w:sz w:val="24"/>
                <w:szCs w:val="24"/>
                <w:lang w:val="fr-FR" w:eastAsia="ru-RU"/>
              </w:rPr>
              <w:t xml:space="preserve"> de </w:t>
            </w:r>
            <w:proofErr w:type="spellStart"/>
            <w:r w:rsidRPr="001B0744">
              <w:rPr>
                <w:rFonts w:ascii="Times New Roman" w:hAnsi="Times New Roman"/>
                <w:sz w:val="24"/>
                <w:szCs w:val="24"/>
                <w:lang w:val="fr-FR" w:eastAsia="ru-RU"/>
              </w:rPr>
              <w:t>sănătate</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fr-FR" w:eastAsia="ru-RU"/>
              </w:rPr>
              <w:t>publică</w:t>
            </w:r>
            <w:proofErr w:type="spellEnd"/>
            <w:r w:rsidRPr="001B0744">
              <w:rPr>
                <w:rFonts w:ascii="Times New Roman" w:hAnsi="Times New Roman"/>
                <w:sz w:val="24"/>
                <w:szCs w:val="24"/>
                <w:lang w:val="fr-FR" w:eastAsia="ru-RU"/>
              </w:rPr>
              <w:t xml:space="preserve">. </w:t>
            </w:r>
            <w:proofErr w:type="spellStart"/>
            <w:r w:rsidRPr="001B0744">
              <w:rPr>
                <w:rFonts w:ascii="Times New Roman" w:hAnsi="Times New Roman"/>
                <w:sz w:val="24"/>
                <w:szCs w:val="24"/>
                <w:lang w:val="es-AR" w:eastAsia="ru-RU"/>
              </w:rPr>
              <w:t>Modificările</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vor</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contribui</w:t>
            </w:r>
            <w:proofErr w:type="spellEnd"/>
            <w:r w:rsidRPr="001B0744">
              <w:rPr>
                <w:rFonts w:ascii="Times New Roman" w:hAnsi="Times New Roman"/>
                <w:sz w:val="24"/>
                <w:szCs w:val="24"/>
                <w:lang w:val="es-AR" w:eastAsia="ru-RU"/>
              </w:rPr>
              <w:t xml:space="preserve"> la o </w:t>
            </w:r>
            <w:proofErr w:type="spellStart"/>
            <w:r w:rsidRPr="001B0744">
              <w:rPr>
                <w:rFonts w:ascii="Times New Roman" w:hAnsi="Times New Roman"/>
                <w:sz w:val="24"/>
                <w:szCs w:val="24"/>
                <w:lang w:val="es-AR" w:eastAsia="ru-RU"/>
              </w:rPr>
              <w:t>structură</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mai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omogenă</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și</w:t>
            </w:r>
            <w:proofErr w:type="spellEnd"/>
            <w:r w:rsidRPr="001B0744">
              <w:rPr>
                <w:rFonts w:ascii="Times New Roman" w:hAnsi="Times New Roman"/>
                <w:sz w:val="24"/>
                <w:szCs w:val="24"/>
                <w:lang w:val="es-AR" w:eastAsia="ru-RU"/>
              </w:rPr>
              <w:t xml:space="preserve"> la </w:t>
            </w:r>
            <w:proofErr w:type="spellStart"/>
            <w:r w:rsidRPr="001B0744">
              <w:rPr>
                <w:rFonts w:ascii="Times New Roman" w:hAnsi="Times New Roman"/>
                <w:sz w:val="24"/>
                <w:szCs w:val="24"/>
                <w:lang w:val="es-AR" w:eastAsia="ru-RU"/>
              </w:rPr>
              <w:t>dezvoltarea</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serviciilor</w:t>
            </w:r>
            <w:proofErr w:type="spellEnd"/>
            <w:r w:rsidRPr="001B0744">
              <w:rPr>
                <w:rFonts w:ascii="Times New Roman" w:hAnsi="Times New Roman"/>
                <w:sz w:val="24"/>
                <w:szCs w:val="24"/>
                <w:lang w:val="es-AR" w:eastAsia="ru-RU"/>
              </w:rPr>
              <w:t xml:space="preserve"> de </w:t>
            </w:r>
            <w:proofErr w:type="spellStart"/>
            <w:r w:rsidRPr="001B0744">
              <w:rPr>
                <w:rFonts w:ascii="Times New Roman" w:hAnsi="Times New Roman"/>
                <w:sz w:val="24"/>
                <w:szCs w:val="24"/>
                <w:lang w:val="es-AR" w:eastAsia="ru-RU"/>
              </w:rPr>
              <w:t>sănătate</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publică</w:t>
            </w:r>
            <w:proofErr w:type="spellEnd"/>
            <w:r w:rsidRPr="001B0744">
              <w:rPr>
                <w:rFonts w:ascii="Times New Roman" w:hAnsi="Times New Roman"/>
                <w:sz w:val="24"/>
                <w:szCs w:val="24"/>
                <w:lang w:val="es-AR" w:eastAsia="ru-RU"/>
              </w:rPr>
              <w:t xml:space="preserve"> </w:t>
            </w:r>
            <w:proofErr w:type="spellStart"/>
            <w:proofErr w:type="gramStart"/>
            <w:r w:rsidRPr="001B0744">
              <w:rPr>
                <w:rFonts w:ascii="Times New Roman" w:hAnsi="Times New Roman"/>
                <w:sz w:val="24"/>
                <w:szCs w:val="24"/>
                <w:lang w:val="es-AR" w:eastAsia="ru-RU"/>
              </w:rPr>
              <w:t>la</w:t>
            </w:r>
            <w:proofErr w:type="spellEnd"/>
            <w:r w:rsidRPr="001B0744">
              <w:rPr>
                <w:rFonts w:ascii="Times New Roman" w:hAnsi="Times New Roman"/>
                <w:sz w:val="24"/>
                <w:szCs w:val="24"/>
                <w:lang w:val="es-AR" w:eastAsia="ru-RU"/>
              </w:rPr>
              <w:t xml:space="preserve"> nivel</w:t>
            </w:r>
            <w:proofErr w:type="gram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raional</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asigurând</w:t>
            </w:r>
            <w:proofErr w:type="spellEnd"/>
            <w:r w:rsidRPr="001B0744">
              <w:rPr>
                <w:rFonts w:ascii="Times New Roman" w:hAnsi="Times New Roman"/>
                <w:sz w:val="24"/>
                <w:szCs w:val="24"/>
                <w:lang w:val="es-AR" w:eastAsia="ru-RU"/>
              </w:rPr>
              <w:t xml:space="preserve"> o </w:t>
            </w:r>
            <w:proofErr w:type="spellStart"/>
            <w:r w:rsidRPr="001B0744">
              <w:rPr>
                <w:rFonts w:ascii="Times New Roman" w:hAnsi="Times New Roman"/>
                <w:sz w:val="24"/>
                <w:szCs w:val="24"/>
                <w:lang w:val="es-AR" w:eastAsia="ru-RU"/>
              </w:rPr>
              <w:t>mai</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bună</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coordonare</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și</w:t>
            </w:r>
            <w:proofErr w:type="spellEnd"/>
            <w:r w:rsidRPr="001B0744">
              <w:rPr>
                <w:rFonts w:ascii="Times New Roman" w:hAnsi="Times New Roman"/>
                <w:sz w:val="24"/>
                <w:szCs w:val="24"/>
                <w:lang w:val="es-AR" w:eastAsia="ru-RU"/>
              </w:rPr>
              <w:t xml:space="preserve"> implementare a </w:t>
            </w:r>
            <w:proofErr w:type="spellStart"/>
            <w:r w:rsidRPr="001B0744">
              <w:rPr>
                <w:rFonts w:ascii="Times New Roman" w:hAnsi="Times New Roman"/>
                <w:sz w:val="24"/>
                <w:szCs w:val="24"/>
                <w:lang w:val="es-AR" w:eastAsia="ru-RU"/>
              </w:rPr>
              <w:t>politicilor</w:t>
            </w:r>
            <w:proofErr w:type="spellEnd"/>
            <w:r w:rsidRPr="001B0744">
              <w:rPr>
                <w:rFonts w:ascii="Times New Roman" w:hAnsi="Times New Roman"/>
                <w:sz w:val="24"/>
                <w:szCs w:val="24"/>
                <w:lang w:val="es-AR" w:eastAsia="ru-RU"/>
              </w:rPr>
              <w:t xml:space="preserve"> de </w:t>
            </w:r>
            <w:proofErr w:type="spellStart"/>
            <w:r w:rsidRPr="001B0744">
              <w:rPr>
                <w:rFonts w:ascii="Times New Roman" w:hAnsi="Times New Roman"/>
                <w:sz w:val="24"/>
                <w:szCs w:val="24"/>
                <w:lang w:val="es-AR" w:eastAsia="ru-RU"/>
              </w:rPr>
              <w:t>sănătate</w:t>
            </w:r>
            <w:proofErr w:type="spellEnd"/>
            <w:r w:rsidRPr="001B0744">
              <w:rPr>
                <w:rFonts w:ascii="Times New Roman" w:hAnsi="Times New Roman"/>
                <w:sz w:val="24"/>
                <w:szCs w:val="24"/>
                <w:lang w:val="es-AR" w:eastAsia="ru-RU"/>
              </w:rPr>
              <w:t xml:space="preserve"> </w:t>
            </w:r>
            <w:proofErr w:type="spellStart"/>
            <w:r w:rsidRPr="001B0744">
              <w:rPr>
                <w:rFonts w:ascii="Times New Roman" w:hAnsi="Times New Roman"/>
                <w:sz w:val="24"/>
                <w:szCs w:val="24"/>
                <w:lang w:val="es-AR" w:eastAsia="ru-RU"/>
              </w:rPr>
              <w:t>publică</w:t>
            </w:r>
            <w:proofErr w:type="spellEnd"/>
            <w:r>
              <w:rPr>
                <w:rFonts w:ascii="Times New Roman" w:hAnsi="Times New Roman"/>
                <w:sz w:val="24"/>
                <w:szCs w:val="24"/>
                <w:lang w:val="es-AR" w:eastAsia="ru-RU"/>
              </w:rPr>
              <w:t>.</w:t>
            </w:r>
          </w:p>
          <w:p w14:paraId="2BADF8F6" w14:textId="77777777" w:rsidR="001B0744" w:rsidRPr="001B0744" w:rsidRDefault="001B0744" w:rsidP="001B0744">
            <w:pPr>
              <w:ind w:firstLine="381"/>
              <w:rPr>
                <w:rFonts w:ascii="Times New Roman" w:hAnsi="Times New Roman"/>
                <w:sz w:val="24"/>
                <w:szCs w:val="24"/>
                <w:lang w:val="ro-RO"/>
              </w:rPr>
            </w:pPr>
            <w:r w:rsidRPr="001B0744">
              <w:rPr>
                <w:rFonts w:ascii="Times New Roman" w:hAnsi="Times New Roman"/>
                <w:sz w:val="24"/>
                <w:szCs w:val="24"/>
                <w:lang w:val="ro-RO"/>
              </w:rPr>
              <w:t>În prezent efectivul-limită al ANSP constituie 1623,00 unități de personal, dintre care – 1558,00 unități din domeniul sănătății publice, cu un volum de mijloace financiare destinate cheltuielilor salariale în sumă de 256.325.6 mii lei aprobate pentru anul 2024.</w:t>
            </w:r>
          </w:p>
          <w:p w14:paraId="4C34B475" w14:textId="77777777" w:rsidR="001B0744" w:rsidRPr="001B0744" w:rsidRDefault="001B0744" w:rsidP="001B0744">
            <w:pPr>
              <w:ind w:firstLine="381"/>
              <w:rPr>
                <w:rFonts w:ascii="Times New Roman" w:hAnsi="Times New Roman"/>
                <w:sz w:val="24"/>
                <w:szCs w:val="24"/>
                <w:lang w:val="ro-RO"/>
              </w:rPr>
            </w:pPr>
            <w:r w:rsidRPr="001B0744">
              <w:rPr>
                <w:rFonts w:ascii="Times New Roman" w:hAnsi="Times New Roman"/>
                <w:sz w:val="24"/>
                <w:szCs w:val="24"/>
                <w:lang w:val="ro-RO"/>
              </w:rPr>
              <w:t xml:space="preserve">Pentru a consolida gestionarea datelor și implementarea politicii în domeniul personalului medical, ANSP se reorganizează prin absorbția Cabinetului Instructiv-Metodic Republican. Acesta aduce cu sine 4 unități de personal și un buget de 493,9 mii lei pentru anul 2024, echivalent cu aproximativ 41,1 mii lei lunar. În cadrul acestei reorganizări, </w:t>
            </w:r>
            <w:r w:rsidRPr="001B0744">
              <w:rPr>
                <w:rFonts w:ascii="Times New Roman" w:hAnsi="Times New Roman"/>
                <w:sz w:val="24"/>
                <w:szCs w:val="24"/>
                <w:lang w:val="ro-RO"/>
              </w:rPr>
              <w:lastRenderedPageBreak/>
              <w:t>Cabinetul Instructiv-Metodic Republican devine parte a subdiviziunii de Analiza și planificare a resurselor umane în sănătate a ANSP.</w:t>
            </w:r>
          </w:p>
          <w:p w14:paraId="08EEF042" w14:textId="04518F02" w:rsidR="0036045D" w:rsidRDefault="001B0744" w:rsidP="0036045D">
            <w:pPr>
              <w:ind w:firstLine="381"/>
              <w:rPr>
                <w:rFonts w:ascii="Times New Roman" w:hAnsi="Times New Roman"/>
                <w:sz w:val="24"/>
                <w:szCs w:val="24"/>
                <w:lang w:val="ro-RO"/>
              </w:rPr>
            </w:pPr>
            <w:r w:rsidRPr="001B0744">
              <w:rPr>
                <w:rFonts w:ascii="Times New Roman" w:hAnsi="Times New Roman"/>
                <w:sz w:val="24"/>
                <w:szCs w:val="24"/>
                <w:lang w:val="ro-RO"/>
              </w:rPr>
              <w:t xml:space="preserve">În acest context, efectivul-limită a ANSP va constitui 1627,00 unități dintre care 1562,00 unități din domeniul sănătății publice, </w:t>
            </w:r>
            <w:r w:rsidR="0036045D" w:rsidRPr="0036045D">
              <w:rPr>
                <w:rFonts w:ascii="Times New Roman" w:hAnsi="Times New Roman"/>
                <w:sz w:val="24"/>
                <w:szCs w:val="24"/>
                <w:lang w:val="ro-RO"/>
              </w:rPr>
              <w:t>care se estimează cu volumul de mijloace financiare destinate cheltuielilor de personal în sumă de circa 256 819,5 mii lei, sau echivalentul anului 2024,</w:t>
            </w:r>
            <w:r w:rsidR="0036045D">
              <w:rPr>
                <w:rFonts w:ascii="Times New Roman" w:hAnsi="Times New Roman"/>
                <w:sz w:val="24"/>
                <w:szCs w:val="24"/>
                <w:lang w:val="ro-RO"/>
              </w:rPr>
              <w:t xml:space="preserve"> </w:t>
            </w:r>
            <w:r w:rsidR="0036045D" w:rsidRPr="0036045D">
              <w:rPr>
                <w:rFonts w:ascii="Times New Roman" w:hAnsi="Times New Roman"/>
                <w:sz w:val="24"/>
                <w:szCs w:val="24"/>
                <w:lang w:val="ro-RO"/>
              </w:rPr>
              <w:t>și nu va necesita mijloace financiare suplimentare întru implementarea proiectului dat.</w:t>
            </w:r>
          </w:p>
          <w:p w14:paraId="26D1B5EE" w14:textId="77777777" w:rsidR="0036045D" w:rsidRPr="0036045D" w:rsidRDefault="0036045D" w:rsidP="0036045D">
            <w:pPr>
              <w:ind w:firstLine="381"/>
              <w:rPr>
                <w:rFonts w:ascii="Times New Roman" w:hAnsi="Times New Roman"/>
                <w:strike/>
                <w:sz w:val="24"/>
                <w:szCs w:val="24"/>
                <w:lang w:val="ro-RO"/>
              </w:rPr>
            </w:pPr>
          </w:p>
          <w:tbl>
            <w:tblPr>
              <w:tblW w:w="7940" w:type="dxa"/>
              <w:tblLook w:val="04A0" w:firstRow="1" w:lastRow="0" w:firstColumn="1" w:lastColumn="0" w:noHBand="0" w:noVBand="1"/>
            </w:tblPr>
            <w:tblGrid>
              <w:gridCol w:w="2839"/>
              <w:gridCol w:w="875"/>
              <w:gridCol w:w="1511"/>
              <w:gridCol w:w="875"/>
              <w:gridCol w:w="1511"/>
              <w:gridCol w:w="1205"/>
            </w:tblGrid>
            <w:tr w:rsidR="00121570" w:rsidRPr="0036045D" w14:paraId="4AAA06E4" w14:textId="77777777" w:rsidTr="00121570">
              <w:trPr>
                <w:trHeight w:val="360"/>
              </w:trPr>
              <w:tc>
                <w:tcPr>
                  <w:tcW w:w="2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87A3F2"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Categoria de personal</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9A94D2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Până la reorganizare</w:t>
                  </w:r>
                </w:p>
              </w:tc>
              <w:tc>
                <w:tcPr>
                  <w:tcW w:w="20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F02EED9"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După reorganizare</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91CE74"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Numărul  unități modificate</w:t>
                  </w:r>
                </w:p>
              </w:tc>
            </w:tr>
            <w:tr w:rsidR="00121570" w:rsidRPr="0036045D" w14:paraId="4783DA9E" w14:textId="77777777" w:rsidTr="00121570">
              <w:trPr>
                <w:trHeight w:val="570"/>
              </w:trPr>
              <w:tc>
                <w:tcPr>
                  <w:tcW w:w="2840" w:type="dxa"/>
                  <w:vMerge/>
                  <w:tcBorders>
                    <w:top w:val="single" w:sz="8" w:space="0" w:color="auto"/>
                    <w:left w:val="single" w:sz="8" w:space="0" w:color="auto"/>
                    <w:bottom w:val="single" w:sz="8" w:space="0" w:color="000000"/>
                    <w:right w:val="single" w:sz="8" w:space="0" w:color="auto"/>
                  </w:tcBorders>
                  <w:vAlign w:val="center"/>
                  <w:hideMark/>
                </w:tcPr>
                <w:p w14:paraId="77D72EFE" w14:textId="77777777" w:rsidR="00121570" w:rsidRPr="0036045D" w:rsidRDefault="00121570" w:rsidP="00121570">
                  <w:pPr>
                    <w:ind w:firstLine="0"/>
                    <w:jc w:val="left"/>
                    <w:rPr>
                      <w:b/>
                      <w:bCs/>
                      <w:color w:val="000000"/>
                      <w:sz w:val="22"/>
                      <w:szCs w:val="22"/>
                      <w:lang w:val="ro-RO" w:eastAsia="ro-RO"/>
                    </w:rPr>
                  </w:pPr>
                </w:p>
              </w:tc>
              <w:tc>
                <w:tcPr>
                  <w:tcW w:w="698" w:type="dxa"/>
                  <w:tcBorders>
                    <w:top w:val="nil"/>
                    <w:left w:val="nil"/>
                    <w:bottom w:val="single" w:sz="8" w:space="0" w:color="auto"/>
                    <w:right w:val="nil"/>
                  </w:tcBorders>
                  <w:shd w:val="clear" w:color="auto" w:fill="auto"/>
                  <w:noWrap/>
                  <w:vAlign w:val="center"/>
                  <w:hideMark/>
                </w:tcPr>
                <w:p w14:paraId="1532C222"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Unități</w:t>
                  </w:r>
                </w:p>
              </w:tc>
              <w:tc>
                <w:tcPr>
                  <w:tcW w:w="1462" w:type="dxa"/>
                  <w:tcBorders>
                    <w:top w:val="nil"/>
                    <w:left w:val="single" w:sz="8" w:space="0" w:color="auto"/>
                    <w:bottom w:val="single" w:sz="8" w:space="0" w:color="auto"/>
                    <w:right w:val="single" w:sz="8" w:space="0" w:color="auto"/>
                  </w:tcBorders>
                  <w:shd w:val="clear" w:color="auto" w:fill="auto"/>
                  <w:vAlign w:val="center"/>
                  <w:hideMark/>
                </w:tcPr>
                <w:p w14:paraId="574E4F91"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Remunerarea muncii, mii lei</w:t>
                  </w:r>
                </w:p>
              </w:tc>
              <w:tc>
                <w:tcPr>
                  <w:tcW w:w="650" w:type="dxa"/>
                  <w:tcBorders>
                    <w:top w:val="nil"/>
                    <w:left w:val="nil"/>
                    <w:bottom w:val="single" w:sz="8" w:space="0" w:color="auto"/>
                    <w:right w:val="single" w:sz="8" w:space="0" w:color="auto"/>
                  </w:tcBorders>
                  <w:shd w:val="clear" w:color="auto" w:fill="auto"/>
                  <w:noWrap/>
                  <w:vAlign w:val="center"/>
                  <w:hideMark/>
                </w:tcPr>
                <w:p w14:paraId="724F56D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Unități</w:t>
                  </w:r>
                </w:p>
              </w:tc>
              <w:tc>
                <w:tcPr>
                  <w:tcW w:w="1350" w:type="dxa"/>
                  <w:tcBorders>
                    <w:top w:val="nil"/>
                    <w:left w:val="nil"/>
                    <w:bottom w:val="single" w:sz="8" w:space="0" w:color="auto"/>
                    <w:right w:val="single" w:sz="8" w:space="0" w:color="auto"/>
                  </w:tcBorders>
                  <w:shd w:val="clear" w:color="auto" w:fill="auto"/>
                  <w:vAlign w:val="center"/>
                  <w:hideMark/>
                </w:tcPr>
                <w:p w14:paraId="68C4AA1C"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Remunerarea muncii, mii lei</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BBEF32D" w14:textId="77777777" w:rsidR="00121570" w:rsidRPr="0036045D" w:rsidRDefault="00121570" w:rsidP="00121570">
                  <w:pPr>
                    <w:ind w:firstLine="0"/>
                    <w:jc w:val="left"/>
                    <w:rPr>
                      <w:b/>
                      <w:bCs/>
                      <w:color w:val="000000"/>
                      <w:sz w:val="22"/>
                      <w:szCs w:val="22"/>
                      <w:lang w:val="ro-RO" w:eastAsia="ro-RO"/>
                    </w:rPr>
                  </w:pPr>
                </w:p>
              </w:tc>
            </w:tr>
            <w:tr w:rsidR="00121570" w:rsidRPr="0036045D" w14:paraId="4EE7F7E7" w14:textId="77777777" w:rsidTr="00121570">
              <w:trPr>
                <w:trHeight w:val="600"/>
              </w:trPr>
              <w:tc>
                <w:tcPr>
                  <w:tcW w:w="2840" w:type="dxa"/>
                  <w:tcBorders>
                    <w:top w:val="nil"/>
                    <w:left w:val="single" w:sz="8" w:space="0" w:color="auto"/>
                    <w:bottom w:val="single" w:sz="8" w:space="0" w:color="auto"/>
                    <w:right w:val="single" w:sz="4" w:space="0" w:color="auto"/>
                  </w:tcBorders>
                  <w:shd w:val="clear" w:color="000000" w:fill="F2F2F2"/>
                  <w:vAlign w:val="center"/>
                  <w:hideMark/>
                </w:tcPr>
                <w:p w14:paraId="2866AE00"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Funcționari publici de conducere, inclusiv</w:t>
                  </w:r>
                </w:p>
              </w:tc>
              <w:tc>
                <w:tcPr>
                  <w:tcW w:w="698" w:type="dxa"/>
                  <w:tcBorders>
                    <w:top w:val="nil"/>
                    <w:left w:val="nil"/>
                    <w:bottom w:val="single" w:sz="8" w:space="0" w:color="auto"/>
                    <w:right w:val="single" w:sz="4" w:space="0" w:color="auto"/>
                  </w:tcBorders>
                  <w:shd w:val="clear" w:color="000000" w:fill="F2F2F2"/>
                  <w:noWrap/>
                  <w:vAlign w:val="center"/>
                  <w:hideMark/>
                </w:tcPr>
                <w:p w14:paraId="062DFE3C"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41</w:t>
                  </w:r>
                </w:p>
              </w:tc>
              <w:tc>
                <w:tcPr>
                  <w:tcW w:w="1462" w:type="dxa"/>
                  <w:tcBorders>
                    <w:top w:val="nil"/>
                    <w:left w:val="nil"/>
                    <w:bottom w:val="single" w:sz="8" w:space="0" w:color="auto"/>
                    <w:right w:val="single" w:sz="4" w:space="0" w:color="auto"/>
                  </w:tcBorders>
                  <w:shd w:val="clear" w:color="000000" w:fill="F2F2F2"/>
                  <w:noWrap/>
                  <w:vAlign w:val="center"/>
                  <w:hideMark/>
                </w:tcPr>
                <w:p w14:paraId="2D7EFB2C"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12,601.5</w:t>
                  </w:r>
                </w:p>
              </w:tc>
              <w:tc>
                <w:tcPr>
                  <w:tcW w:w="650" w:type="dxa"/>
                  <w:tcBorders>
                    <w:top w:val="nil"/>
                    <w:left w:val="nil"/>
                    <w:bottom w:val="single" w:sz="8" w:space="0" w:color="auto"/>
                    <w:right w:val="single" w:sz="4" w:space="0" w:color="auto"/>
                  </w:tcBorders>
                  <w:shd w:val="clear" w:color="000000" w:fill="F2F2F2"/>
                  <w:noWrap/>
                  <w:vAlign w:val="center"/>
                  <w:hideMark/>
                </w:tcPr>
                <w:p w14:paraId="7B768360"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39</w:t>
                  </w:r>
                </w:p>
              </w:tc>
              <w:tc>
                <w:tcPr>
                  <w:tcW w:w="1350" w:type="dxa"/>
                  <w:tcBorders>
                    <w:top w:val="nil"/>
                    <w:left w:val="nil"/>
                    <w:bottom w:val="single" w:sz="8" w:space="0" w:color="auto"/>
                    <w:right w:val="nil"/>
                  </w:tcBorders>
                  <w:shd w:val="clear" w:color="000000" w:fill="F2F2F2"/>
                  <w:noWrap/>
                  <w:vAlign w:val="center"/>
                  <w:hideMark/>
                </w:tcPr>
                <w:p w14:paraId="0C9AE327"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11,986.8</w:t>
                  </w:r>
                </w:p>
              </w:tc>
              <w:tc>
                <w:tcPr>
                  <w:tcW w:w="940" w:type="dxa"/>
                  <w:tcBorders>
                    <w:top w:val="nil"/>
                    <w:left w:val="single" w:sz="8" w:space="0" w:color="auto"/>
                    <w:bottom w:val="single" w:sz="8" w:space="0" w:color="auto"/>
                    <w:right w:val="single" w:sz="8" w:space="0" w:color="auto"/>
                  </w:tcBorders>
                  <w:shd w:val="clear" w:color="000000" w:fill="F2F2F2"/>
                  <w:noWrap/>
                  <w:vAlign w:val="center"/>
                  <w:hideMark/>
                </w:tcPr>
                <w:p w14:paraId="2D090A96"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-2</w:t>
                  </w:r>
                </w:p>
              </w:tc>
            </w:tr>
            <w:tr w:rsidR="00121570" w:rsidRPr="0036045D" w14:paraId="57C4CCC3"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14:paraId="341E49D6"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director, director adjunct</w:t>
                  </w:r>
                </w:p>
              </w:tc>
              <w:tc>
                <w:tcPr>
                  <w:tcW w:w="698" w:type="dxa"/>
                  <w:tcBorders>
                    <w:top w:val="nil"/>
                    <w:left w:val="nil"/>
                    <w:bottom w:val="single" w:sz="4" w:space="0" w:color="auto"/>
                    <w:right w:val="single" w:sz="4" w:space="0" w:color="auto"/>
                  </w:tcBorders>
                  <w:shd w:val="clear" w:color="auto" w:fill="auto"/>
                  <w:noWrap/>
                  <w:vAlign w:val="bottom"/>
                  <w:hideMark/>
                </w:tcPr>
                <w:p w14:paraId="09036652"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c>
                <w:tcPr>
                  <w:tcW w:w="1462" w:type="dxa"/>
                  <w:tcBorders>
                    <w:top w:val="nil"/>
                    <w:left w:val="nil"/>
                    <w:bottom w:val="single" w:sz="4" w:space="0" w:color="auto"/>
                    <w:right w:val="single" w:sz="4" w:space="0" w:color="auto"/>
                  </w:tcBorders>
                  <w:shd w:val="clear" w:color="auto" w:fill="auto"/>
                  <w:noWrap/>
                  <w:vAlign w:val="bottom"/>
                  <w:hideMark/>
                </w:tcPr>
                <w:p w14:paraId="62790784"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1,878.7</w:t>
                  </w:r>
                </w:p>
              </w:tc>
              <w:tc>
                <w:tcPr>
                  <w:tcW w:w="650" w:type="dxa"/>
                  <w:tcBorders>
                    <w:top w:val="nil"/>
                    <w:left w:val="nil"/>
                    <w:bottom w:val="single" w:sz="4" w:space="0" w:color="auto"/>
                    <w:right w:val="single" w:sz="4" w:space="0" w:color="auto"/>
                  </w:tcBorders>
                  <w:shd w:val="clear" w:color="auto" w:fill="auto"/>
                  <w:noWrap/>
                  <w:vAlign w:val="center"/>
                  <w:hideMark/>
                </w:tcPr>
                <w:p w14:paraId="582247D7"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c>
                <w:tcPr>
                  <w:tcW w:w="1350" w:type="dxa"/>
                  <w:tcBorders>
                    <w:top w:val="nil"/>
                    <w:left w:val="nil"/>
                    <w:bottom w:val="single" w:sz="4" w:space="0" w:color="auto"/>
                    <w:right w:val="nil"/>
                  </w:tcBorders>
                  <w:shd w:val="clear" w:color="auto" w:fill="auto"/>
                  <w:noWrap/>
                  <w:vAlign w:val="center"/>
                  <w:hideMark/>
                </w:tcPr>
                <w:p w14:paraId="362AEAB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1,878.7</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277BE9C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0</w:t>
                  </w:r>
                </w:p>
              </w:tc>
            </w:tr>
            <w:tr w:rsidR="00121570" w:rsidRPr="0036045D" w14:paraId="701CDE50"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14:paraId="33F041A3"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 xml:space="preserve">șef </w:t>
                  </w:r>
                  <w:proofErr w:type="spellStart"/>
                  <w:r w:rsidRPr="0036045D">
                    <w:rPr>
                      <w:color w:val="000000"/>
                      <w:sz w:val="22"/>
                      <w:szCs w:val="22"/>
                      <w:lang w:val="ro-RO" w:eastAsia="ro-RO"/>
                    </w:rPr>
                    <w:t>directie</w:t>
                  </w:r>
                  <w:proofErr w:type="spellEnd"/>
                  <w:r w:rsidRPr="0036045D">
                    <w:rPr>
                      <w:color w:val="000000"/>
                      <w:sz w:val="22"/>
                      <w:szCs w:val="22"/>
                      <w:lang w:val="ro-RO" w:eastAsia="ro-RO"/>
                    </w:rPr>
                    <w:t xml:space="preserve">, șef adjunct </w:t>
                  </w:r>
                  <w:proofErr w:type="spellStart"/>
                  <w:r w:rsidRPr="0036045D">
                    <w:rPr>
                      <w:color w:val="000000"/>
                      <w:sz w:val="22"/>
                      <w:szCs w:val="22"/>
                      <w:lang w:val="ro-RO" w:eastAsia="ro-RO"/>
                    </w:rPr>
                    <w:t>directie</w:t>
                  </w:r>
                  <w:proofErr w:type="spellEnd"/>
                </w:p>
              </w:tc>
              <w:tc>
                <w:tcPr>
                  <w:tcW w:w="698" w:type="dxa"/>
                  <w:tcBorders>
                    <w:top w:val="nil"/>
                    <w:left w:val="nil"/>
                    <w:bottom w:val="single" w:sz="4" w:space="0" w:color="auto"/>
                    <w:right w:val="single" w:sz="4" w:space="0" w:color="auto"/>
                  </w:tcBorders>
                  <w:shd w:val="clear" w:color="auto" w:fill="auto"/>
                  <w:noWrap/>
                  <w:vAlign w:val="bottom"/>
                  <w:hideMark/>
                </w:tcPr>
                <w:p w14:paraId="2312DA2A"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29</w:t>
                  </w:r>
                </w:p>
              </w:tc>
              <w:tc>
                <w:tcPr>
                  <w:tcW w:w="1462" w:type="dxa"/>
                  <w:tcBorders>
                    <w:top w:val="nil"/>
                    <w:left w:val="nil"/>
                    <w:bottom w:val="single" w:sz="4" w:space="0" w:color="auto"/>
                    <w:right w:val="single" w:sz="4" w:space="0" w:color="auto"/>
                  </w:tcBorders>
                  <w:shd w:val="clear" w:color="auto" w:fill="auto"/>
                  <w:noWrap/>
                  <w:vAlign w:val="bottom"/>
                  <w:hideMark/>
                </w:tcPr>
                <w:p w14:paraId="25484FD5"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8,892.4</w:t>
                  </w:r>
                </w:p>
              </w:tc>
              <w:tc>
                <w:tcPr>
                  <w:tcW w:w="650" w:type="dxa"/>
                  <w:tcBorders>
                    <w:top w:val="nil"/>
                    <w:left w:val="nil"/>
                    <w:bottom w:val="single" w:sz="4" w:space="0" w:color="auto"/>
                    <w:right w:val="single" w:sz="4" w:space="0" w:color="auto"/>
                  </w:tcBorders>
                  <w:shd w:val="clear" w:color="auto" w:fill="auto"/>
                  <w:noWrap/>
                  <w:vAlign w:val="center"/>
                  <w:hideMark/>
                </w:tcPr>
                <w:p w14:paraId="622B584C"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28</w:t>
                  </w:r>
                </w:p>
              </w:tc>
              <w:tc>
                <w:tcPr>
                  <w:tcW w:w="1350" w:type="dxa"/>
                  <w:tcBorders>
                    <w:top w:val="nil"/>
                    <w:left w:val="nil"/>
                    <w:bottom w:val="single" w:sz="4" w:space="0" w:color="auto"/>
                    <w:right w:val="nil"/>
                  </w:tcBorders>
                  <w:shd w:val="clear" w:color="auto" w:fill="auto"/>
                  <w:noWrap/>
                  <w:vAlign w:val="center"/>
                  <w:hideMark/>
                </w:tcPr>
                <w:p w14:paraId="33E7451C"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8,513.9</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4A53136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w:t>
                  </w:r>
                </w:p>
              </w:tc>
            </w:tr>
            <w:tr w:rsidR="00121570" w:rsidRPr="0036045D" w14:paraId="59CEA7D6"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14:paraId="1E89993A"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șef secție</w:t>
                  </w:r>
                </w:p>
              </w:tc>
              <w:tc>
                <w:tcPr>
                  <w:tcW w:w="698" w:type="dxa"/>
                  <w:tcBorders>
                    <w:top w:val="nil"/>
                    <w:left w:val="nil"/>
                    <w:bottom w:val="single" w:sz="4" w:space="0" w:color="auto"/>
                    <w:right w:val="single" w:sz="4" w:space="0" w:color="auto"/>
                  </w:tcBorders>
                  <w:shd w:val="clear" w:color="auto" w:fill="auto"/>
                  <w:noWrap/>
                  <w:vAlign w:val="bottom"/>
                  <w:hideMark/>
                </w:tcPr>
                <w:p w14:paraId="1FC80AC8"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c>
                <w:tcPr>
                  <w:tcW w:w="1462" w:type="dxa"/>
                  <w:tcBorders>
                    <w:top w:val="nil"/>
                    <w:left w:val="nil"/>
                    <w:bottom w:val="single" w:sz="4" w:space="0" w:color="auto"/>
                    <w:right w:val="single" w:sz="4" w:space="0" w:color="auto"/>
                  </w:tcBorders>
                  <w:shd w:val="clear" w:color="auto" w:fill="auto"/>
                  <w:noWrap/>
                  <w:vAlign w:val="bottom"/>
                  <w:hideMark/>
                </w:tcPr>
                <w:p w14:paraId="585263C9"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1,358.0</w:t>
                  </w:r>
                </w:p>
              </w:tc>
              <w:tc>
                <w:tcPr>
                  <w:tcW w:w="650" w:type="dxa"/>
                  <w:tcBorders>
                    <w:top w:val="nil"/>
                    <w:left w:val="nil"/>
                    <w:bottom w:val="single" w:sz="4" w:space="0" w:color="auto"/>
                    <w:right w:val="single" w:sz="4" w:space="0" w:color="auto"/>
                  </w:tcBorders>
                  <w:shd w:val="clear" w:color="auto" w:fill="auto"/>
                  <w:noWrap/>
                  <w:vAlign w:val="center"/>
                  <w:hideMark/>
                </w:tcPr>
                <w:p w14:paraId="6BCAFAA5"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c>
                <w:tcPr>
                  <w:tcW w:w="1350" w:type="dxa"/>
                  <w:tcBorders>
                    <w:top w:val="nil"/>
                    <w:left w:val="nil"/>
                    <w:bottom w:val="single" w:sz="4" w:space="0" w:color="auto"/>
                    <w:right w:val="nil"/>
                  </w:tcBorders>
                  <w:shd w:val="clear" w:color="auto" w:fill="auto"/>
                  <w:noWrap/>
                  <w:vAlign w:val="center"/>
                  <w:hideMark/>
                </w:tcPr>
                <w:p w14:paraId="64FE89F8"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1,358.0</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13FFDD04"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0</w:t>
                  </w:r>
                </w:p>
              </w:tc>
            </w:tr>
            <w:tr w:rsidR="00121570" w:rsidRPr="0036045D" w14:paraId="20C95C8E" w14:textId="77777777" w:rsidTr="00121570">
              <w:trPr>
                <w:trHeight w:val="315"/>
              </w:trPr>
              <w:tc>
                <w:tcPr>
                  <w:tcW w:w="2840" w:type="dxa"/>
                  <w:tcBorders>
                    <w:top w:val="nil"/>
                    <w:left w:val="single" w:sz="8" w:space="0" w:color="auto"/>
                    <w:bottom w:val="nil"/>
                    <w:right w:val="single" w:sz="4" w:space="0" w:color="auto"/>
                  </w:tcBorders>
                  <w:shd w:val="clear" w:color="auto" w:fill="auto"/>
                  <w:noWrap/>
                  <w:vAlign w:val="bottom"/>
                  <w:hideMark/>
                </w:tcPr>
                <w:p w14:paraId="68099E39"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șef serviciu</w:t>
                  </w:r>
                </w:p>
              </w:tc>
              <w:tc>
                <w:tcPr>
                  <w:tcW w:w="698" w:type="dxa"/>
                  <w:tcBorders>
                    <w:top w:val="nil"/>
                    <w:left w:val="nil"/>
                    <w:bottom w:val="nil"/>
                    <w:right w:val="single" w:sz="4" w:space="0" w:color="auto"/>
                  </w:tcBorders>
                  <w:shd w:val="clear" w:color="auto" w:fill="auto"/>
                  <w:noWrap/>
                  <w:vAlign w:val="bottom"/>
                  <w:hideMark/>
                </w:tcPr>
                <w:p w14:paraId="5407D69C"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w:t>
                  </w:r>
                </w:p>
              </w:tc>
              <w:tc>
                <w:tcPr>
                  <w:tcW w:w="1462" w:type="dxa"/>
                  <w:tcBorders>
                    <w:top w:val="nil"/>
                    <w:left w:val="nil"/>
                    <w:bottom w:val="nil"/>
                    <w:right w:val="single" w:sz="4" w:space="0" w:color="auto"/>
                  </w:tcBorders>
                  <w:shd w:val="clear" w:color="auto" w:fill="auto"/>
                  <w:noWrap/>
                  <w:vAlign w:val="bottom"/>
                  <w:hideMark/>
                </w:tcPr>
                <w:p w14:paraId="4BC0F9B6"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472.4</w:t>
                  </w:r>
                </w:p>
              </w:tc>
              <w:tc>
                <w:tcPr>
                  <w:tcW w:w="650" w:type="dxa"/>
                  <w:tcBorders>
                    <w:top w:val="nil"/>
                    <w:left w:val="nil"/>
                    <w:bottom w:val="nil"/>
                    <w:right w:val="single" w:sz="4" w:space="0" w:color="auto"/>
                  </w:tcBorders>
                  <w:shd w:val="clear" w:color="auto" w:fill="auto"/>
                  <w:noWrap/>
                  <w:vAlign w:val="center"/>
                  <w:hideMark/>
                </w:tcPr>
                <w:p w14:paraId="45388931"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w:t>
                  </w:r>
                </w:p>
              </w:tc>
              <w:tc>
                <w:tcPr>
                  <w:tcW w:w="1350" w:type="dxa"/>
                  <w:tcBorders>
                    <w:top w:val="nil"/>
                    <w:left w:val="nil"/>
                    <w:bottom w:val="nil"/>
                    <w:right w:val="nil"/>
                  </w:tcBorders>
                  <w:shd w:val="clear" w:color="auto" w:fill="auto"/>
                  <w:noWrap/>
                  <w:vAlign w:val="center"/>
                  <w:hideMark/>
                </w:tcPr>
                <w:p w14:paraId="24F400F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236.2</w:t>
                  </w:r>
                </w:p>
              </w:tc>
              <w:tc>
                <w:tcPr>
                  <w:tcW w:w="940" w:type="dxa"/>
                  <w:tcBorders>
                    <w:top w:val="nil"/>
                    <w:left w:val="single" w:sz="8" w:space="0" w:color="auto"/>
                    <w:bottom w:val="nil"/>
                    <w:right w:val="single" w:sz="8" w:space="0" w:color="auto"/>
                  </w:tcBorders>
                  <w:shd w:val="clear" w:color="auto" w:fill="auto"/>
                  <w:noWrap/>
                  <w:vAlign w:val="bottom"/>
                  <w:hideMark/>
                </w:tcPr>
                <w:p w14:paraId="3FD67167"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w:t>
                  </w:r>
                </w:p>
              </w:tc>
            </w:tr>
            <w:tr w:rsidR="00121570" w:rsidRPr="0036045D" w14:paraId="00375C5D" w14:textId="77777777" w:rsidTr="00121570">
              <w:trPr>
                <w:trHeight w:val="315"/>
              </w:trPr>
              <w:tc>
                <w:tcPr>
                  <w:tcW w:w="284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67F068C8"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Funcționar publici de execuție</w:t>
                  </w:r>
                </w:p>
              </w:tc>
              <w:tc>
                <w:tcPr>
                  <w:tcW w:w="698" w:type="dxa"/>
                  <w:tcBorders>
                    <w:top w:val="single" w:sz="8" w:space="0" w:color="auto"/>
                    <w:left w:val="nil"/>
                    <w:bottom w:val="single" w:sz="8" w:space="0" w:color="auto"/>
                    <w:right w:val="single" w:sz="4" w:space="0" w:color="auto"/>
                  </w:tcBorders>
                  <w:shd w:val="clear" w:color="000000" w:fill="F2F2F2"/>
                  <w:noWrap/>
                  <w:vAlign w:val="center"/>
                  <w:hideMark/>
                </w:tcPr>
                <w:p w14:paraId="0CF0BF83"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155</w:t>
                  </w:r>
                </w:p>
              </w:tc>
              <w:tc>
                <w:tcPr>
                  <w:tcW w:w="1462" w:type="dxa"/>
                  <w:tcBorders>
                    <w:top w:val="single" w:sz="8" w:space="0" w:color="auto"/>
                    <w:left w:val="nil"/>
                    <w:bottom w:val="single" w:sz="8" w:space="0" w:color="auto"/>
                    <w:right w:val="single" w:sz="4" w:space="0" w:color="auto"/>
                  </w:tcBorders>
                  <w:shd w:val="clear" w:color="000000" w:fill="F2F2F2"/>
                  <w:noWrap/>
                  <w:vAlign w:val="center"/>
                  <w:hideMark/>
                </w:tcPr>
                <w:p w14:paraId="0AEFCBED"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27,875.3</w:t>
                  </w:r>
                </w:p>
              </w:tc>
              <w:tc>
                <w:tcPr>
                  <w:tcW w:w="650" w:type="dxa"/>
                  <w:tcBorders>
                    <w:top w:val="single" w:sz="8" w:space="0" w:color="auto"/>
                    <w:left w:val="nil"/>
                    <w:bottom w:val="single" w:sz="8" w:space="0" w:color="auto"/>
                    <w:right w:val="single" w:sz="4" w:space="0" w:color="auto"/>
                  </w:tcBorders>
                  <w:shd w:val="clear" w:color="000000" w:fill="F2F2F2"/>
                  <w:noWrap/>
                  <w:vAlign w:val="center"/>
                  <w:hideMark/>
                </w:tcPr>
                <w:p w14:paraId="2C6EF394"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169</w:t>
                  </w:r>
                </w:p>
              </w:tc>
              <w:tc>
                <w:tcPr>
                  <w:tcW w:w="1350" w:type="dxa"/>
                  <w:tcBorders>
                    <w:top w:val="single" w:sz="8" w:space="0" w:color="auto"/>
                    <w:left w:val="nil"/>
                    <w:bottom w:val="single" w:sz="8" w:space="0" w:color="auto"/>
                    <w:right w:val="nil"/>
                  </w:tcBorders>
                  <w:shd w:val="clear" w:color="000000" w:fill="F2F2F2"/>
                  <w:noWrap/>
                  <w:vAlign w:val="center"/>
                  <w:hideMark/>
                </w:tcPr>
                <w:p w14:paraId="37833C40"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30,393.1</w:t>
                  </w:r>
                </w:p>
              </w:tc>
              <w:tc>
                <w:tcPr>
                  <w:tcW w:w="940"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40AB21AA"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14</w:t>
                  </w:r>
                </w:p>
              </w:tc>
            </w:tr>
            <w:tr w:rsidR="00121570" w:rsidRPr="0036045D" w14:paraId="3F1794E2" w14:textId="77777777" w:rsidTr="00121570">
              <w:trPr>
                <w:trHeight w:val="315"/>
              </w:trPr>
              <w:tc>
                <w:tcPr>
                  <w:tcW w:w="2840" w:type="dxa"/>
                  <w:tcBorders>
                    <w:top w:val="nil"/>
                    <w:left w:val="single" w:sz="8" w:space="0" w:color="auto"/>
                    <w:bottom w:val="single" w:sz="8" w:space="0" w:color="auto"/>
                    <w:right w:val="single" w:sz="4" w:space="0" w:color="auto"/>
                  </w:tcBorders>
                  <w:shd w:val="clear" w:color="000000" w:fill="F2F2F2"/>
                  <w:noWrap/>
                  <w:vAlign w:val="center"/>
                  <w:hideMark/>
                </w:tcPr>
                <w:p w14:paraId="66DF1AF3"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Personal de specialitate</w:t>
                  </w:r>
                </w:p>
              </w:tc>
              <w:tc>
                <w:tcPr>
                  <w:tcW w:w="698" w:type="dxa"/>
                  <w:tcBorders>
                    <w:top w:val="nil"/>
                    <w:left w:val="nil"/>
                    <w:bottom w:val="single" w:sz="8" w:space="0" w:color="auto"/>
                    <w:right w:val="single" w:sz="4" w:space="0" w:color="auto"/>
                  </w:tcBorders>
                  <w:shd w:val="clear" w:color="000000" w:fill="F2F2F2"/>
                  <w:noWrap/>
                  <w:vAlign w:val="center"/>
                  <w:hideMark/>
                </w:tcPr>
                <w:p w14:paraId="1819BAD7"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1117</w:t>
                  </w:r>
                </w:p>
              </w:tc>
              <w:tc>
                <w:tcPr>
                  <w:tcW w:w="1462" w:type="dxa"/>
                  <w:tcBorders>
                    <w:top w:val="nil"/>
                    <w:left w:val="nil"/>
                    <w:bottom w:val="single" w:sz="8" w:space="0" w:color="auto"/>
                    <w:right w:val="single" w:sz="4" w:space="0" w:color="auto"/>
                  </w:tcBorders>
                  <w:shd w:val="clear" w:color="000000" w:fill="F2F2F2"/>
                  <w:noWrap/>
                  <w:vAlign w:val="center"/>
                  <w:hideMark/>
                </w:tcPr>
                <w:p w14:paraId="2E2194C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193,610.9</w:t>
                  </w:r>
                </w:p>
              </w:tc>
              <w:tc>
                <w:tcPr>
                  <w:tcW w:w="650" w:type="dxa"/>
                  <w:tcBorders>
                    <w:top w:val="nil"/>
                    <w:left w:val="nil"/>
                    <w:bottom w:val="single" w:sz="8" w:space="0" w:color="auto"/>
                    <w:right w:val="single" w:sz="4" w:space="0" w:color="auto"/>
                  </w:tcBorders>
                  <w:shd w:val="clear" w:color="000000" w:fill="F2F2F2"/>
                  <w:noWrap/>
                  <w:vAlign w:val="center"/>
                  <w:hideMark/>
                </w:tcPr>
                <w:p w14:paraId="5956A6B5"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1106</w:t>
                  </w:r>
                </w:p>
              </w:tc>
              <w:tc>
                <w:tcPr>
                  <w:tcW w:w="1350" w:type="dxa"/>
                  <w:tcBorders>
                    <w:top w:val="nil"/>
                    <w:left w:val="nil"/>
                    <w:bottom w:val="single" w:sz="8" w:space="0" w:color="auto"/>
                    <w:right w:val="nil"/>
                  </w:tcBorders>
                  <w:shd w:val="clear" w:color="000000" w:fill="F2F2F2"/>
                  <w:noWrap/>
                  <w:vAlign w:val="center"/>
                  <w:hideMark/>
                </w:tcPr>
                <w:p w14:paraId="6C4661F7"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191,435.8</w:t>
                  </w:r>
                </w:p>
              </w:tc>
              <w:tc>
                <w:tcPr>
                  <w:tcW w:w="940" w:type="dxa"/>
                  <w:tcBorders>
                    <w:top w:val="nil"/>
                    <w:left w:val="single" w:sz="8" w:space="0" w:color="auto"/>
                    <w:bottom w:val="single" w:sz="8" w:space="0" w:color="auto"/>
                    <w:right w:val="single" w:sz="8" w:space="0" w:color="auto"/>
                  </w:tcBorders>
                  <w:shd w:val="clear" w:color="000000" w:fill="F2F2F2"/>
                  <w:noWrap/>
                  <w:vAlign w:val="bottom"/>
                  <w:hideMark/>
                </w:tcPr>
                <w:p w14:paraId="6329365E"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-11</w:t>
                  </w:r>
                </w:p>
              </w:tc>
            </w:tr>
            <w:tr w:rsidR="00121570" w:rsidRPr="0036045D" w14:paraId="48D7CAD4"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center"/>
                  <w:hideMark/>
                </w:tcPr>
                <w:p w14:paraId="06B768B0" w14:textId="77777777" w:rsidR="00121570" w:rsidRPr="0036045D" w:rsidRDefault="00121570" w:rsidP="00121570">
                  <w:pPr>
                    <w:ind w:firstLine="0"/>
                    <w:jc w:val="left"/>
                    <w:rPr>
                      <w:i/>
                      <w:iCs/>
                      <w:color w:val="000000"/>
                      <w:sz w:val="22"/>
                      <w:szCs w:val="22"/>
                      <w:lang w:val="ro-RO" w:eastAsia="ro-RO"/>
                    </w:rPr>
                  </w:pPr>
                  <w:r w:rsidRPr="0036045D">
                    <w:rPr>
                      <w:i/>
                      <w:iCs/>
                      <w:color w:val="000000"/>
                      <w:sz w:val="22"/>
                      <w:szCs w:val="22"/>
                      <w:lang w:val="ro-RO" w:eastAsia="ro-RO"/>
                    </w:rPr>
                    <w:t>inclusiv personal de conducere:</w:t>
                  </w:r>
                </w:p>
              </w:tc>
              <w:tc>
                <w:tcPr>
                  <w:tcW w:w="698" w:type="dxa"/>
                  <w:tcBorders>
                    <w:top w:val="nil"/>
                    <w:left w:val="nil"/>
                    <w:bottom w:val="single" w:sz="4" w:space="0" w:color="auto"/>
                    <w:right w:val="single" w:sz="4" w:space="0" w:color="auto"/>
                  </w:tcBorders>
                  <w:shd w:val="clear" w:color="auto" w:fill="auto"/>
                  <w:noWrap/>
                  <w:vAlign w:val="center"/>
                  <w:hideMark/>
                </w:tcPr>
                <w:p w14:paraId="4537DF76"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76</w:t>
                  </w:r>
                </w:p>
              </w:tc>
              <w:tc>
                <w:tcPr>
                  <w:tcW w:w="1462" w:type="dxa"/>
                  <w:tcBorders>
                    <w:top w:val="nil"/>
                    <w:left w:val="nil"/>
                    <w:bottom w:val="single" w:sz="4" w:space="0" w:color="auto"/>
                    <w:right w:val="single" w:sz="4" w:space="0" w:color="auto"/>
                  </w:tcBorders>
                  <w:shd w:val="clear" w:color="auto" w:fill="auto"/>
                  <w:noWrap/>
                  <w:vAlign w:val="center"/>
                  <w:hideMark/>
                </w:tcPr>
                <w:p w14:paraId="0B847C33"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24,695.5</w:t>
                  </w:r>
                </w:p>
              </w:tc>
              <w:tc>
                <w:tcPr>
                  <w:tcW w:w="650" w:type="dxa"/>
                  <w:tcBorders>
                    <w:top w:val="nil"/>
                    <w:left w:val="nil"/>
                    <w:bottom w:val="single" w:sz="4" w:space="0" w:color="auto"/>
                    <w:right w:val="single" w:sz="4" w:space="0" w:color="auto"/>
                  </w:tcBorders>
                  <w:shd w:val="clear" w:color="auto" w:fill="auto"/>
                  <w:noWrap/>
                  <w:vAlign w:val="center"/>
                  <w:hideMark/>
                </w:tcPr>
                <w:p w14:paraId="749D6B31"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96</w:t>
                  </w:r>
                </w:p>
              </w:tc>
              <w:tc>
                <w:tcPr>
                  <w:tcW w:w="1350" w:type="dxa"/>
                  <w:tcBorders>
                    <w:top w:val="nil"/>
                    <w:left w:val="nil"/>
                    <w:bottom w:val="single" w:sz="4" w:space="0" w:color="auto"/>
                    <w:right w:val="nil"/>
                  </w:tcBorders>
                  <w:shd w:val="clear" w:color="auto" w:fill="auto"/>
                  <w:noWrap/>
                  <w:vAlign w:val="center"/>
                  <w:hideMark/>
                </w:tcPr>
                <w:p w14:paraId="56263F9E"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30,075.0</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14638451"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20</w:t>
                  </w:r>
                </w:p>
              </w:tc>
            </w:tr>
            <w:tr w:rsidR="00121570" w:rsidRPr="0036045D" w14:paraId="12B16E6F"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14:paraId="198CF1B9"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șef direcție, șef adjunct direcție</w:t>
                  </w:r>
                </w:p>
              </w:tc>
              <w:tc>
                <w:tcPr>
                  <w:tcW w:w="698" w:type="dxa"/>
                  <w:tcBorders>
                    <w:top w:val="nil"/>
                    <w:left w:val="nil"/>
                    <w:bottom w:val="single" w:sz="4" w:space="0" w:color="auto"/>
                    <w:right w:val="single" w:sz="4" w:space="0" w:color="auto"/>
                  </w:tcBorders>
                  <w:shd w:val="clear" w:color="auto" w:fill="auto"/>
                  <w:noWrap/>
                  <w:vAlign w:val="bottom"/>
                  <w:hideMark/>
                </w:tcPr>
                <w:p w14:paraId="4F21FD5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11</w:t>
                  </w:r>
                </w:p>
              </w:tc>
              <w:tc>
                <w:tcPr>
                  <w:tcW w:w="1462" w:type="dxa"/>
                  <w:tcBorders>
                    <w:top w:val="nil"/>
                    <w:left w:val="nil"/>
                    <w:bottom w:val="single" w:sz="4" w:space="0" w:color="auto"/>
                    <w:right w:val="single" w:sz="4" w:space="0" w:color="auto"/>
                  </w:tcBorders>
                  <w:shd w:val="clear" w:color="auto" w:fill="auto"/>
                  <w:noWrap/>
                  <w:vAlign w:val="bottom"/>
                  <w:hideMark/>
                </w:tcPr>
                <w:p w14:paraId="660159E8"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4,255.2</w:t>
                  </w:r>
                </w:p>
              </w:tc>
              <w:tc>
                <w:tcPr>
                  <w:tcW w:w="650" w:type="dxa"/>
                  <w:tcBorders>
                    <w:top w:val="nil"/>
                    <w:left w:val="nil"/>
                    <w:bottom w:val="single" w:sz="4" w:space="0" w:color="auto"/>
                    <w:right w:val="single" w:sz="4" w:space="0" w:color="auto"/>
                  </w:tcBorders>
                  <w:shd w:val="clear" w:color="auto" w:fill="auto"/>
                  <w:noWrap/>
                  <w:vAlign w:val="center"/>
                  <w:hideMark/>
                </w:tcPr>
                <w:p w14:paraId="5CE30EE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26</w:t>
                  </w:r>
                </w:p>
              </w:tc>
              <w:tc>
                <w:tcPr>
                  <w:tcW w:w="1350" w:type="dxa"/>
                  <w:tcBorders>
                    <w:top w:val="nil"/>
                    <w:left w:val="nil"/>
                    <w:bottom w:val="single" w:sz="4" w:space="0" w:color="auto"/>
                    <w:right w:val="nil"/>
                  </w:tcBorders>
                  <w:shd w:val="clear" w:color="auto" w:fill="auto"/>
                  <w:noWrap/>
                  <w:vAlign w:val="center"/>
                  <w:hideMark/>
                </w:tcPr>
                <w:p w14:paraId="0DC02DF5"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9,165.0</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20AFC8A7"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15</w:t>
                  </w:r>
                </w:p>
              </w:tc>
            </w:tr>
            <w:tr w:rsidR="00121570" w:rsidRPr="0036045D" w14:paraId="35516CE8"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14:paraId="3BE661E8"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șef laborator</w:t>
                  </w:r>
                </w:p>
              </w:tc>
              <w:tc>
                <w:tcPr>
                  <w:tcW w:w="698" w:type="dxa"/>
                  <w:tcBorders>
                    <w:top w:val="nil"/>
                    <w:left w:val="nil"/>
                    <w:bottom w:val="single" w:sz="4" w:space="0" w:color="auto"/>
                    <w:right w:val="single" w:sz="4" w:space="0" w:color="auto"/>
                  </w:tcBorders>
                  <w:shd w:val="clear" w:color="auto" w:fill="auto"/>
                  <w:noWrap/>
                  <w:vAlign w:val="bottom"/>
                  <w:hideMark/>
                </w:tcPr>
                <w:p w14:paraId="1046C2FF"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c>
                <w:tcPr>
                  <w:tcW w:w="1462" w:type="dxa"/>
                  <w:tcBorders>
                    <w:top w:val="nil"/>
                    <w:left w:val="nil"/>
                    <w:bottom w:val="single" w:sz="4" w:space="0" w:color="auto"/>
                    <w:right w:val="single" w:sz="4" w:space="0" w:color="auto"/>
                  </w:tcBorders>
                  <w:shd w:val="clear" w:color="auto" w:fill="auto"/>
                  <w:noWrap/>
                  <w:vAlign w:val="bottom"/>
                  <w:hideMark/>
                </w:tcPr>
                <w:p w14:paraId="05B36F95"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2,550.1</w:t>
                  </w:r>
                </w:p>
              </w:tc>
              <w:tc>
                <w:tcPr>
                  <w:tcW w:w="650" w:type="dxa"/>
                  <w:tcBorders>
                    <w:top w:val="nil"/>
                    <w:left w:val="nil"/>
                    <w:bottom w:val="single" w:sz="4" w:space="0" w:color="auto"/>
                    <w:right w:val="single" w:sz="4" w:space="0" w:color="auto"/>
                  </w:tcBorders>
                  <w:shd w:val="clear" w:color="auto" w:fill="auto"/>
                  <w:noWrap/>
                  <w:vAlign w:val="center"/>
                  <w:hideMark/>
                </w:tcPr>
                <w:p w14:paraId="4FCC4A6B" w14:textId="77777777" w:rsidR="00121570" w:rsidRPr="0036045D" w:rsidRDefault="00121570" w:rsidP="00121570">
                  <w:pPr>
                    <w:ind w:firstLine="0"/>
                    <w:jc w:val="center"/>
                    <w:rPr>
                      <w:color w:val="FF0000"/>
                      <w:sz w:val="22"/>
                      <w:szCs w:val="22"/>
                      <w:lang w:val="ro-RO" w:eastAsia="ro-RO"/>
                    </w:rPr>
                  </w:pPr>
                  <w:r w:rsidRPr="0036045D">
                    <w:rPr>
                      <w:color w:val="FF0000"/>
                      <w:sz w:val="22"/>
                      <w:szCs w:val="22"/>
                      <w:lang w:val="ro-RO" w:eastAsia="ro-RO"/>
                    </w:rPr>
                    <w:t> </w:t>
                  </w:r>
                </w:p>
              </w:tc>
              <w:tc>
                <w:tcPr>
                  <w:tcW w:w="1350" w:type="dxa"/>
                  <w:tcBorders>
                    <w:top w:val="nil"/>
                    <w:left w:val="nil"/>
                    <w:bottom w:val="single" w:sz="4" w:space="0" w:color="auto"/>
                    <w:right w:val="nil"/>
                  </w:tcBorders>
                  <w:shd w:val="clear" w:color="auto" w:fill="auto"/>
                  <w:noWrap/>
                  <w:vAlign w:val="center"/>
                  <w:hideMark/>
                </w:tcPr>
                <w:p w14:paraId="6B4FD9EA" w14:textId="77777777" w:rsidR="00121570" w:rsidRPr="0036045D" w:rsidRDefault="00121570" w:rsidP="00121570">
                  <w:pPr>
                    <w:ind w:firstLine="0"/>
                    <w:jc w:val="center"/>
                    <w:rPr>
                      <w:color w:val="FF0000"/>
                      <w:sz w:val="22"/>
                      <w:szCs w:val="22"/>
                      <w:lang w:val="ro-RO" w:eastAsia="ro-RO"/>
                    </w:rPr>
                  </w:pPr>
                  <w:r w:rsidRPr="0036045D">
                    <w:rPr>
                      <w:color w:val="FF0000"/>
                      <w:sz w:val="22"/>
                      <w:szCs w:val="22"/>
                      <w:lang w:val="ro-RO" w:eastAsia="ro-RO"/>
                    </w:rPr>
                    <w:t> </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7167C730"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r>
            <w:tr w:rsidR="00121570" w:rsidRPr="0036045D" w14:paraId="5D4EE929"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14:paraId="0FCBCC7D"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șef secție</w:t>
                  </w:r>
                </w:p>
              </w:tc>
              <w:tc>
                <w:tcPr>
                  <w:tcW w:w="698" w:type="dxa"/>
                  <w:tcBorders>
                    <w:top w:val="nil"/>
                    <w:left w:val="nil"/>
                    <w:bottom w:val="single" w:sz="4" w:space="0" w:color="auto"/>
                    <w:right w:val="single" w:sz="4" w:space="0" w:color="auto"/>
                  </w:tcBorders>
                  <w:shd w:val="clear" w:color="auto" w:fill="auto"/>
                  <w:noWrap/>
                  <w:vAlign w:val="bottom"/>
                  <w:hideMark/>
                </w:tcPr>
                <w:p w14:paraId="18708079"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55</w:t>
                  </w:r>
                </w:p>
              </w:tc>
              <w:tc>
                <w:tcPr>
                  <w:tcW w:w="1462" w:type="dxa"/>
                  <w:tcBorders>
                    <w:top w:val="nil"/>
                    <w:left w:val="nil"/>
                    <w:bottom w:val="single" w:sz="4" w:space="0" w:color="auto"/>
                    <w:right w:val="single" w:sz="4" w:space="0" w:color="auto"/>
                  </w:tcBorders>
                  <w:shd w:val="clear" w:color="auto" w:fill="auto"/>
                  <w:noWrap/>
                  <w:vAlign w:val="bottom"/>
                  <w:hideMark/>
                </w:tcPr>
                <w:p w14:paraId="2EFD6A1D"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17,077.9</w:t>
                  </w:r>
                </w:p>
              </w:tc>
              <w:tc>
                <w:tcPr>
                  <w:tcW w:w="650" w:type="dxa"/>
                  <w:tcBorders>
                    <w:top w:val="nil"/>
                    <w:left w:val="nil"/>
                    <w:bottom w:val="single" w:sz="4" w:space="0" w:color="auto"/>
                    <w:right w:val="single" w:sz="4" w:space="0" w:color="auto"/>
                  </w:tcBorders>
                  <w:shd w:val="clear" w:color="auto" w:fill="auto"/>
                  <w:noWrap/>
                  <w:vAlign w:val="center"/>
                  <w:hideMark/>
                </w:tcPr>
                <w:p w14:paraId="4ADCB14D"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60</w:t>
                  </w:r>
                </w:p>
              </w:tc>
              <w:tc>
                <w:tcPr>
                  <w:tcW w:w="1350" w:type="dxa"/>
                  <w:tcBorders>
                    <w:top w:val="nil"/>
                    <w:left w:val="nil"/>
                    <w:bottom w:val="single" w:sz="4" w:space="0" w:color="auto"/>
                    <w:right w:val="nil"/>
                  </w:tcBorders>
                  <w:shd w:val="clear" w:color="auto" w:fill="auto"/>
                  <w:noWrap/>
                  <w:vAlign w:val="center"/>
                  <w:hideMark/>
                </w:tcPr>
                <w:p w14:paraId="0F8ABDDA"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19,285.4</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58A216B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r>
            <w:tr w:rsidR="00121570" w:rsidRPr="0036045D" w14:paraId="022724F7" w14:textId="77777777" w:rsidTr="00121570">
              <w:trPr>
                <w:trHeight w:val="315"/>
              </w:trPr>
              <w:tc>
                <w:tcPr>
                  <w:tcW w:w="2840" w:type="dxa"/>
                  <w:tcBorders>
                    <w:top w:val="nil"/>
                    <w:left w:val="single" w:sz="8" w:space="0" w:color="auto"/>
                    <w:bottom w:val="nil"/>
                    <w:right w:val="single" w:sz="4" w:space="0" w:color="auto"/>
                  </w:tcBorders>
                  <w:shd w:val="clear" w:color="auto" w:fill="auto"/>
                  <w:noWrap/>
                  <w:vAlign w:val="bottom"/>
                  <w:hideMark/>
                </w:tcPr>
                <w:p w14:paraId="3753B2F2"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șef serviciu</w:t>
                  </w:r>
                </w:p>
              </w:tc>
              <w:tc>
                <w:tcPr>
                  <w:tcW w:w="698" w:type="dxa"/>
                  <w:tcBorders>
                    <w:top w:val="nil"/>
                    <w:left w:val="nil"/>
                    <w:bottom w:val="nil"/>
                    <w:right w:val="single" w:sz="4" w:space="0" w:color="auto"/>
                  </w:tcBorders>
                  <w:shd w:val="clear" w:color="auto" w:fill="auto"/>
                  <w:noWrap/>
                  <w:vAlign w:val="bottom"/>
                  <w:hideMark/>
                </w:tcPr>
                <w:p w14:paraId="2104BAB8"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c>
                <w:tcPr>
                  <w:tcW w:w="1462" w:type="dxa"/>
                  <w:tcBorders>
                    <w:top w:val="nil"/>
                    <w:left w:val="nil"/>
                    <w:bottom w:val="nil"/>
                    <w:right w:val="single" w:sz="4" w:space="0" w:color="auto"/>
                  </w:tcBorders>
                  <w:shd w:val="clear" w:color="auto" w:fill="auto"/>
                  <w:noWrap/>
                  <w:vAlign w:val="bottom"/>
                  <w:hideMark/>
                </w:tcPr>
                <w:p w14:paraId="4D7BDF4A"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812.3</w:t>
                  </w:r>
                </w:p>
              </w:tc>
              <w:tc>
                <w:tcPr>
                  <w:tcW w:w="650" w:type="dxa"/>
                  <w:tcBorders>
                    <w:top w:val="nil"/>
                    <w:left w:val="nil"/>
                    <w:bottom w:val="nil"/>
                    <w:right w:val="single" w:sz="4" w:space="0" w:color="auto"/>
                  </w:tcBorders>
                  <w:shd w:val="clear" w:color="auto" w:fill="auto"/>
                  <w:noWrap/>
                  <w:vAlign w:val="center"/>
                  <w:hideMark/>
                </w:tcPr>
                <w:p w14:paraId="2431E770"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10</w:t>
                  </w:r>
                </w:p>
              </w:tc>
              <w:tc>
                <w:tcPr>
                  <w:tcW w:w="1350" w:type="dxa"/>
                  <w:tcBorders>
                    <w:top w:val="nil"/>
                    <w:left w:val="nil"/>
                    <w:bottom w:val="nil"/>
                    <w:right w:val="nil"/>
                  </w:tcBorders>
                  <w:shd w:val="clear" w:color="auto" w:fill="auto"/>
                  <w:noWrap/>
                  <w:vAlign w:val="center"/>
                  <w:hideMark/>
                </w:tcPr>
                <w:p w14:paraId="29886717"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1,624.6</w:t>
                  </w:r>
                </w:p>
              </w:tc>
              <w:tc>
                <w:tcPr>
                  <w:tcW w:w="940" w:type="dxa"/>
                  <w:tcBorders>
                    <w:top w:val="nil"/>
                    <w:left w:val="single" w:sz="8" w:space="0" w:color="auto"/>
                    <w:bottom w:val="nil"/>
                    <w:right w:val="single" w:sz="8" w:space="0" w:color="auto"/>
                  </w:tcBorders>
                  <w:shd w:val="clear" w:color="auto" w:fill="auto"/>
                  <w:noWrap/>
                  <w:vAlign w:val="bottom"/>
                  <w:hideMark/>
                </w:tcPr>
                <w:p w14:paraId="70E7A80E"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5</w:t>
                  </w:r>
                </w:p>
              </w:tc>
            </w:tr>
            <w:tr w:rsidR="00121570" w:rsidRPr="0036045D" w14:paraId="589487E1" w14:textId="77777777" w:rsidTr="00121570">
              <w:trPr>
                <w:trHeight w:val="315"/>
              </w:trPr>
              <w:tc>
                <w:tcPr>
                  <w:tcW w:w="284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32C1BF38"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Personal de deservire tehnică</w:t>
                  </w:r>
                </w:p>
              </w:tc>
              <w:tc>
                <w:tcPr>
                  <w:tcW w:w="698" w:type="dxa"/>
                  <w:tcBorders>
                    <w:top w:val="single" w:sz="8" w:space="0" w:color="auto"/>
                    <w:left w:val="nil"/>
                    <w:bottom w:val="single" w:sz="8" w:space="0" w:color="auto"/>
                    <w:right w:val="single" w:sz="4" w:space="0" w:color="auto"/>
                  </w:tcBorders>
                  <w:shd w:val="clear" w:color="000000" w:fill="F2F2F2"/>
                  <w:noWrap/>
                  <w:vAlign w:val="center"/>
                  <w:hideMark/>
                </w:tcPr>
                <w:p w14:paraId="4DD1969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72</w:t>
                  </w:r>
                </w:p>
              </w:tc>
              <w:tc>
                <w:tcPr>
                  <w:tcW w:w="1462" w:type="dxa"/>
                  <w:tcBorders>
                    <w:top w:val="single" w:sz="8" w:space="0" w:color="auto"/>
                    <w:left w:val="nil"/>
                    <w:bottom w:val="single" w:sz="8" w:space="0" w:color="auto"/>
                    <w:right w:val="single" w:sz="4" w:space="0" w:color="auto"/>
                  </w:tcBorders>
                  <w:shd w:val="clear" w:color="000000" w:fill="F2F2F2"/>
                  <w:noWrap/>
                  <w:vAlign w:val="center"/>
                  <w:hideMark/>
                </w:tcPr>
                <w:p w14:paraId="7C8C22FB"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6,530.5</w:t>
                  </w:r>
                </w:p>
              </w:tc>
              <w:tc>
                <w:tcPr>
                  <w:tcW w:w="650" w:type="dxa"/>
                  <w:tcBorders>
                    <w:top w:val="single" w:sz="8" w:space="0" w:color="auto"/>
                    <w:left w:val="nil"/>
                    <w:bottom w:val="single" w:sz="8" w:space="0" w:color="auto"/>
                    <w:right w:val="single" w:sz="4" w:space="0" w:color="auto"/>
                  </w:tcBorders>
                  <w:shd w:val="clear" w:color="000000" w:fill="F2F2F2"/>
                  <w:noWrap/>
                  <w:vAlign w:val="center"/>
                  <w:hideMark/>
                </w:tcPr>
                <w:p w14:paraId="2726F37E"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76</w:t>
                  </w:r>
                </w:p>
              </w:tc>
              <w:tc>
                <w:tcPr>
                  <w:tcW w:w="1350" w:type="dxa"/>
                  <w:tcBorders>
                    <w:top w:val="single" w:sz="8" w:space="0" w:color="auto"/>
                    <w:left w:val="nil"/>
                    <w:bottom w:val="single" w:sz="8" w:space="0" w:color="auto"/>
                    <w:right w:val="nil"/>
                  </w:tcBorders>
                  <w:shd w:val="clear" w:color="000000" w:fill="F2F2F2"/>
                  <w:noWrap/>
                  <w:vAlign w:val="center"/>
                  <w:hideMark/>
                </w:tcPr>
                <w:p w14:paraId="1C57E970"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6,893.3</w:t>
                  </w:r>
                </w:p>
              </w:tc>
              <w:tc>
                <w:tcPr>
                  <w:tcW w:w="940"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73A33E28"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4</w:t>
                  </w:r>
                </w:p>
              </w:tc>
            </w:tr>
            <w:tr w:rsidR="00121570" w:rsidRPr="0036045D" w14:paraId="38BC33C1" w14:textId="77777777" w:rsidTr="00121570">
              <w:trPr>
                <w:trHeight w:val="300"/>
              </w:trPr>
              <w:tc>
                <w:tcPr>
                  <w:tcW w:w="2840" w:type="dxa"/>
                  <w:tcBorders>
                    <w:top w:val="nil"/>
                    <w:left w:val="single" w:sz="8" w:space="0" w:color="auto"/>
                    <w:bottom w:val="single" w:sz="4" w:space="0" w:color="auto"/>
                    <w:right w:val="single" w:sz="4" w:space="0" w:color="auto"/>
                  </w:tcBorders>
                  <w:shd w:val="clear" w:color="auto" w:fill="auto"/>
                  <w:noWrap/>
                  <w:vAlign w:val="center"/>
                  <w:hideMark/>
                </w:tcPr>
                <w:p w14:paraId="552DAC9C" w14:textId="77777777" w:rsidR="00121570" w:rsidRPr="0036045D" w:rsidRDefault="00121570" w:rsidP="00121570">
                  <w:pPr>
                    <w:ind w:firstLine="0"/>
                    <w:jc w:val="left"/>
                    <w:rPr>
                      <w:i/>
                      <w:iCs/>
                      <w:color w:val="000000"/>
                      <w:sz w:val="22"/>
                      <w:szCs w:val="22"/>
                      <w:lang w:val="ro-RO" w:eastAsia="ro-RO"/>
                    </w:rPr>
                  </w:pPr>
                  <w:r w:rsidRPr="0036045D">
                    <w:rPr>
                      <w:i/>
                      <w:iCs/>
                      <w:color w:val="000000"/>
                      <w:sz w:val="22"/>
                      <w:szCs w:val="22"/>
                      <w:lang w:val="ro-RO" w:eastAsia="ro-RO"/>
                    </w:rPr>
                    <w:t>inclusiv personal de conducere:</w:t>
                  </w:r>
                </w:p>
              </w:tc>
              <w:tc>
                <w:tcPr>
                  <w:tcW w:w="698" w:type="dxa"/>
                  <w:tcBorders>
                    <w:top w:val="nil"/>
                    <w:left w:val="nil"/>
                    <w:bottom w:val="single" w:sz="4" w:space="0" w:color="auto"/>
                    <w:right w:val="single" w:sz="4" w:space="0" w:color="auto"/>
                  </w:tcBorders>
                  <w:shd w:val="clear" w:color="auto" w:fill="auto"/>
                  <w:noWrap/>
                  <w:vAlign w:val="center"/>
                  <w:hideMark/>
                </w:tcPr>
                <w:p w14:paraId="5443CFC3"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22</w:t>
                  </w:r>
                </w:p>
              </w:tc>
              <w:tc>
                <w:tcPr>
                  <w:tcW w:w="1462" w:type="dxa"/>
                  <w:tcBorders>
                    <w:top w:val="nil"/>
                    <w:left w:val="nil"/>
                    <w:bottom w:val="single" w:sz="4" w:space="0" w:color="auto"/>
                    <w:right w:val="single" w:sz="4" w:space="0" w:color="auto"/>
                  </w:tcBorders>
                  <w:shd w:val="clear" w:color="auto" w:fill="auto"/>
                  <w:noWrap/>
                  <w:vAlign w:val="center"/>
                  <w:hideMark/>
                </w:tcPr>
                <w:p w14:paraId="488645AE"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3,152.0</w:t>
                  </w:r>
                </w:p>
              </w:tc>
              <w:tc>
                <w:tcPr>
                  <w:tcW w:w="650" w:type="dxa"/>
                  <w:tcBorders>
                    <w:top w:val="nil"/>
                    <w:left w:val="nil"/>
                    <w:bottom w:val="single" w:sz="4" w:space="0" w:color="auto"/>
                    <w:right w:val="single" w:sz="4" w:space="0" w:color="auto"/>
                  </w:tcBorders>
                  <w:shd w:val="clear" w:color="auto" w:fill="auto"/>
                  <w:noWrap/>
                  <w:vAlign w:val="center"/>
                  <w:hideMark/>
                </w:tcPr>
                <w:p w14:paraId="622BF5E2"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21</w:t>
                  </w:r>
                </w:p>
              </w:tc>
              <w:tc>
                <w:tcPr>
                  <w:tcW w:w="1350" w:type="dxa"/>
                  <w:tcBorders>
                    <w:top w:val="nil"/>
                    <w:left w:val="nil"/>
                    <w:bottom w:val="single" w:sz="4" w:space="0" w:color="auto"/>
                    <w:right w:val="nil"/>
                  </w:tcBorders>
                  <w:shd w:val="clear" w:color="auto" w:fill="auto"/>
                  <w:noWrap/>
                  <w:vAlign w:val="center"/>
                  <w:hideMark/>
                </w:tcPr>
                <w:p w14:paraId="4B84B87E" w14:textId="77777777" w:rsidR="00121570" w:rsidRPr="0036045D" w:rsidRDefault="00121570" w:rsidP="00121570">
                  <w:pPr>
                    <w:ind w:firstLine="0"/>
                    <w:jc w:val="center"/>
                    <w:rPr>
                      <w:i/>
                      <w:iCs/>
                      <w:color w:val="000000"/>
                      <w:sz w:val="22"/>
                      <w:szCs w:val="22"/>
                      <w:lang w:val="ro-RO" w:eastAsia="ro-RO"/>
                    </w:rPr>
                  </w:pPr>
                  <w:r w:rsidRPr="0036045D">
                    <w:rPr>
                      <w:i/>
                      <w:iCs/>
                      <w:color w:val="000000"/>
                      <w:sz w:val="22"/>
                      <w:szCs w:val="22"/>
                      <w:lang w:val="ro-RO" w:eastAsia="ro-RO"/>
                    </w:rPr>
                    <w:t>3,152.0</w:t>
                  </w:r>
                </w:p>
              </w:tc>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3DA68800"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w:t>
                  </w:r>
                </w:p>
              </w:tc>
            </w:tr>
            <w:tr w:rsidR="00121570" w:rsidRPr="0036045D" w14:paraId="42F65964" w14:textId="77777777" w:rsidTr="00121570">
              <w:trPr>
                <w:trHeight w:val="315"/>
              </w:trPr>
              <w:tc>
                <w:tcPr>
                  <w:tcW w:w="2840" w:type="dxa"/>
                  <w:tcBorders>
                    <w:top w:val="nil"/>
                    <w:left w:val="single" w:sz="8" w:space="0" w:color="auto"/>
                    <w:bottom w:val="nil"/>
                    <w:right w:val="single" w:sz="4" w:space="0" w:color="auto"/>
                  </w:tcBorders>
                  <w:shd w:val="clear" w:color="auto" w:fill="auto"/>
                  <w:noWrap/>
                  <w:vAlign w:val="bottom"/>
                  <w:hideMark/>
                </w:tcPr>
                <w:p w14:paraId="271A3F18" w14:textId="77777777" w:rsidR="00121570" w:rsidRPr="0036045D" w:rsidRDefault="00121570" w:rsidP="00121570">
                  <w:pPr>
                    <w:ind w:firstLine="0"/>
                    <w:jc w:val="left"/>
                    <w:rPr>
                      <w:color w:val="000000"/>
                      <w:sz w:val="22"/>
                      <w:szCs w:val="22"/>
                      <w:lang w:val="ro-RO" w:eastAsia="ro-RO"/>
                    </w:rPr>
                  </w:pPr>
                  <w:r w:rsidRPr="0036045D">
                    <w:rPr>
                      <w:color w:val="000000"/>
                      <w:sz w:val="22"/>
                      <w:szCs w:val="22"/>
                      <w:lang w:val="ro-RO" w:eastAsia="ro-RO"/>
                    </w:rPr>
                    <w:t>șef serviciu</w:t>
                  </w:r>
                </w:p>
              </w:tc>
              <w:tc>
                <w:tcPr>
                  <w:tcW w:w="698" w:type="dxa"/>
                  <w:tcBorders>
                    <w:top w:val="nil"/>
                    <w:left w:val="nil"/>
                    <w:bottom w:val="nil"/>
                    <w:right w:val="single" w:sz="4" w:space="0" w:color="auto"/>
                  </w:tcBorders>
                  <w:shd w:val="clear" w:color="auto" w:fill="auto"/>
                  <w:noWrap/>
                  <w:vAlign w:val="center"/>
                  <w:hideMark/>
                </w:tcPr>
                <w:p w14:paraId="34F3363D"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22</w:t>
                  </w:r>
                </w:p>
              </w:tc>
              <w:tc>
                <w:tcPr>
                  <w:tcW w:w="1462" w:type="dxa"/>
                  <w:tcBorders>
                    <w:top w:val="nil"/>
                    <w:left w:val="nil"/>
                    <w:bottom w:val="nil"/>
                    <w:right w:val="single" w:sz="4" w:space="0" w:color="auto"/>
                  </w:tcBorders>
                  <w:shd w:val="clear" w:color="auto" w:fill="auto"/>
                  <w:noWrap/>
                  <w:vAlign w:val="center"/>
                  <w:hideMark/>
                </w:tcPr>
                <w:p w14:paraId="717496AD"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3,152.0</w:t>
                  </w:r>
                </w:p>
              </w:tc>
              <w:tc>
                <w:tcPr>
                  <w:tcW w:w="650" w:type="dxa"/>
                  <w:tcBorders>
                    <w:top w:val="nil"/>
                    <w:left w:val="nil"/>
                    <w:bottom w:val="nil"/>
                    <w:right w:val="single" w:sz="4" w:space="0" w:color="auto"/>
                  </w:tcBorders>
                  <w:shd w:val="clear" w:color="auto" w:fill="auto"/>
                  <w:noWrap/>
                  <w:vAlign w:val="center"/>
                  <w:hideMark/>
                </w:tcPr>
                <w:p w14:paraId="20C566DB"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21</w:t>
                  </w:r>
                </w:p>
              </w:tc>
              <w:tc>
                <w:tcPr>
                  <w:tcW w:w="1350" w:type="dxa"/>
                  <w:tcBorders>
                    <w:top w:val="nil"/>
                    <w:left w:val="nil"/>
                    <w:bottom w:val="nil"/>
                    <w:right w:val="nil"/>
                  </w:tcBorders>
                  <w:shd w:val="clear" w:color="auto" w:fill="auto"/>
                  <w:noWrap/>
                  <w:vAlign w:val="center"/>
                  <w:hideMark/>
                </w:tcPr>
                <w:p w14:paraId="5007AAB6"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3,152.0</w:t>
                  </w:r>
                </w:p>
              </w:tc>
              <w:tc>
                <w:tcPr>
                  <w:tcW w:w="940" w:type="dxa"/>
                  <w:tcBorders>
                    <w:top w:val="nil"/>
                    <w:left w:val="single" w:sz="8" w:space="0" w:color="auto"/>
                    <w:bottom w:val="nil"/>
                    <w:right w:val="single" w:sz="8" w:space="0" w:color="auto"/>
                  </w:tcBorders>
                  <w:shd w:val="clear" w:color="auto" w:fill="auto"/>
                  <w:noWrap/>
                  <w:vAlign w:val="bottom"/>
                  <w:hideMark/>
                </w:tcPr>
                <w:p w14:paraId="512CE913" w14:textId="77777777" w:rsidR="00121570" w:rsidRPr="0036045D" w:rsidRDefault="00121570" w:rsidP="00121570">
                  <w:pPr>
                    <w:ind w:firstLine="0"/>
                    <w:jc w:val="center"/>
                    <w:rPr>
                      <w:color w:val="000000"/>
                      <w:sz w:val="22"/>
                      <w:szCs w:val="22"/>
                      <w:lang w:val="ro-RO" w:eastAsia="ro-RO"/>
                    </w:rPr>
                  </w:pPr>
                  <w:r w:rsidRPr="0036045D">
                    <w:rPr>
                      <w:color w:val="000000"/>
                      <w:sz w:val="22"/>
                      <w:szCs w:val="22"/>
                      <w:lang w:val="ro-RO" w:eastAsia="ro-RO"/>
                    </w:rPr>
                    <w:t>-1</w:t>
                  </w:r>
                </w:p>
              </w:tc>
            </w:tr>
            <w:tr w:rsidR="00121570" w:rsidRPr="0036045D" w14:paraId="277F05E0" w14:textId="77777777" w:rsidTr="00121570">
              <w:trPr>
                <w:trHeight w:val="315"/>
              </w:trPr>
              <w:tc>
                <w:tcPr>
                  <w:tcW w:w="284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7FD022D9"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Personal auxiliar</w:t>
                  </w:r>
                </w:p>
              </w:tc>
              <w:tc>
                <w:tcPr>
                  <w:tcW w:w="698" w:type="dxa"/>
                  <w:tcBorders>
                    <w:top w:val="single" w:sz="8" w:space="0" w:color="auto"/>
                    <w:left w:val="nil"/>
                    <w:bottom w:val="single" w:sz="8" w:space="0" w:color="auto"/>
                    <w:right w:val="single" w:sz="4" w:space="0" w:color="auto"/>
                  </w:tcBorders>
                  <w:shd w:val="clear" w:color="000000" w:fill="F2F2F2"/>
                  <w:noWrap/>
                  <w:vAlign w:val="center"/>
                  <w:hideMark/>
                </w:tcPr>
                <w:p w14:paraId="6ED5D0A5"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173</w:t>
                  </w:r>
                </w:p>
              </w:tc>
              <w:tc>
                <w:tcPr>
                  <w:tcW w:w="1462" w:type="dxa"/>
                  <w:tcBorders>
                    <w:top w:val="single" w:sz="8" w:space="0" w:color="auto"/>
                    <w:left w:val="nil"/>
                    <w:bottom w:val="single" w:sz="8" w:space="0" w:color="auto"/>
                    <w:right w:val="single" w:sz="4" w:space="0" w:color="auto"/>
                  </w:tcBorders>
                  <w:shd w:val="clear" w:color="000000" w:fill="F2F2F2"/>
                  <w:noWrap/>
                  <w:vAlign w:val="center"/>
                  <w:hideMark/>
                </w:tcPr>
                <w:p w14:paraId="1BB246D9"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15,707.4</w:t>
                  </w:r>
                </w:p>
              </w:tc>
              <w:tc>
                <w:tcPr>
                  <w:tcW w:w="650" w:type="dxa"/>
                  <w:tcBorders>
                    <w:top w:val="single" w:sz="8" w:space="0" w:color="auto"/>
                    <w:left w:val="nil"/>
                    <w:bottom w:val="single" w:sz="8" w:space="0" w:color="auto"/>
                    <w:right w:val="single" w:sz="4" w:space="0" w:color="auto"/>
                  </w:tcBorders>
                  <w:shd w:val="clear" w:color="000000" w:fill="F2F2F2"/>
                  <w:noWrap/>
                  <w:vAlign w:val="center"/>
                  <w:hideMark/>
                </w:tcPr>
                <w:p w14:paraId="2154C4E1"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172</w:t>
                  </w:r>
                </w:p>
              </w:tc>
              <w:tc>
                <w:tcPr>
                  <w:tcW w:w="1350" w:type="dxa"/>
                  <w:tcBorders>
                    <w:top w:val="single" w:sz="8" w:space="0" w:color="auto"/>
                    <w:left w:val="nil"/>
                    <w:bottom w:val="single" w:sz="8" w:space="0" w:color="auto"/>
                    <w:right w:val="nil"/>
                  </w:tcBorders>
                  <w:shd w:val="clear" w:color="000000" w:fill="F2F2F2"/>
                  <w:noWrap/>
                  <w:vAlign w:val="center"/>
                  <w:hideMark/>
                </w:tcPr>
                <w:p w14:paraId="4C11C19B"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15,616.6</w:t>
                  </w:r>
                </w:p>
              </w:tc>
              <w:tc>
                <w:tcPr>
                  <w:tcW w:w="940"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603D374A"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w:t>
                  </w:r>
                </w:p>
              </w:tc>
            </w:tr>
            <w:tr w:rsidR="00121570" w:rsidRPr="0036045D" w14:paraId="13F658BF" w14:textId="77777777" w:rsidTr="00121570">
              <w:trPr>
                <w:trHeight w:val="300"/>
              </w:trPr>
              <w:tc>
                <w:tcPr>
                  <w:tcW w:w="2840" w:type="dxa"/>
                  <w:tcBorders>
                    <w:top w:val="nil"/>
                    <w:left w:val="single" w:sz="8" w:space="0" w:color="auto"/>
                    <w:bottom w:val="single" w:sz="4" w:space="0" w:color="auto"/>
                    <w:right w:val="single" w:sz="4" w:space="0" w:color="auto"/>
                  </w:tcBorders>
                  <w:shd w:val="clear" w:color="000000" w:fill="F2F2F2"/>
                  <w:noWrap/>
                  <w:vAlign w:val="center"/>
                  <w:hideMark/>
                </w:tcPr>
                <w:p w14:paraId="4F111CBE"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Total Sănătate Publică</w:t>
                  </w:r>
                </w:p>
              </w:tc>
              <w:tc>
                <w:tcPr>
                  <w:tcW w:w="698" w:type="dxa"/>
                  <w:tcBorders>
                    <w:top w:val="nil"/>
                    <w:left w:val="nil"/>
                    <w:bottom w:val="single" w:sz="4" w:space="0" w:color="auto"/>
                    <w:right w:val="single" w:sz="4" w:space="0" w:color="auto"/>
                  </w:tcBorders>
                  <w:shd w:val="clear" w:color="000000" w:fill="F2F2F2"/>
                  <w:noWrap/>
                  <w:vAlign w:val="center"/>
                  <w:hideMark/>
                </w:tcPr>
                <w:p w14:paraId="5E8891F8"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1558</w:t>
                  </w:r>
                </w:p>
              </w:tc>
              <w:tc>
                <w:tcPr>
                  <w:tcW w:w="1462" w:type="dxa"/>
                  <w:tcBorders>
                    <w:top w:val="nil"/>
                    <w:left w:val="nil"/>
                    <w:bottom w:val="single" w:sz="4" w:space="0" w:color="auto"/>
                    <w:right w:val="single" w:sz="4" w:space="0" w:color="auto"/>
                  </w:tcBorders>
                  <w:shd w:val="clear" w:color="000000" w:fill="F2F2F2"/>
                  <w:noWrap/>
                  <w:vAlign w:val="center"/>
                  <w:hideMark/>
                </w:tcPr>
                <w:p w14:paraId="3854B4FB"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256325.6</w:t>
                  </w:r>
                </w:p>
              </w:tc>
              <w:tc>
                <w:tcPr>
                  <w:tcW w:w="650" w:type="dxa"/>
                  <w:tcBorders>
                    <w:top w:val="nil"/>
                    <w:left w:val="nil"/>
                    <w:bottom w:val="single" w:sz="4" w:space="0" w:color="auto"/>
                    <w:right w:val="single" w:sz="4" w:space="0" w:color="auto"/>
                  </w:tcBorders>
                  <w:shd w:val="clear" w:color="000000" w:fill="F2F2F2"/>
                  <w:noWrap/>
                  <w:vAlign w:val="center"/>
                  <w:hideMark/>
                </w:tcPr>
                <w:p w14:paraId="24AFCB84"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1562</w:t>
                  </w:r>
                </w:p>
              </w:tc>
              <w:tc>
                <w:tcPr>
                  <w:tcW w:w="1350" w:type="dxa"/>
                  <w:tcBorders>
                    <w:top w:val="nil"/>
                    <w:left w:val="nil"/>
                    <w:bottom w:val="single" w:sz="4" w:space="0" w:color="auto"/>
                    <w:right w:val="nil"/>
                  </w:tcBorders>
                  <w:shd w:val="clear" w:color="000000" w:fill="F2F2F2"/>
                  <w:noWrap/>
                  <w:vAlign w:val="center"/>
                  <w:hideMark/>
                </w:tcPr>
                <w:p w14:paraId="071F41A0"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256,325.6</w:t>
                  </w:r>
                </w:p>
              </w:tc>
              <w:tc>
                <w:tcPr>
                  <w:tcW w:w="940" w:type="dxa"/>
                  <w:tcBorders>
                    <w:top w:val="nil"/>
                    <w:left w:val="single" w:sz="8" w:space="0" w:color="auto"/>
                    <w:bottom w:val="single" w:sz="4" w:space="0" w:color="auto"/>
                    <w:right w:val="single" w:sz="8" w:space="0" w:color="auto"/>
                  </w:tcBorders>
                  <w:shd w:val="clear" w:color="000000" w:fill="F2F2F2"/>
                  <w:noWrap/>
                  <w:vAlign w:val="center"/>
                  <w:hideMark/>
                </w:tcPr>
                <w:p w14:paraId="55255337"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4.0</w:t>
                  </w:r>
                </w:p>
              </w:tc>
            </w:tr>
            <w:tr w:rsidR="00121570" w:rsidRPr="0036045D" w14:paraId="7F56B164" w14:textId="77777777" w:rsidTr="00121570">
              <w:trPr>
                <w:trHeight w:val="315"/>
              </w:trPr>
              <w:tc>
                <w:tcPr>
                  <w:tcW w:w="2840" w:type="dxa"/>
                  <w:tcBorders>
                    <w:top w:val="nil"/>
                    <w:left w:val="single" w:sz="8" w:space="0" w:color="auto"/>
                    <w:bottom w:val="nil"/>
                    <w:right w:val="single" w:sz="4" w:space="0" w:color="auto"/>
                  </w:tcBorders>
                  <w:shd w:val="clear" w:color="000000" w:fill="F2F2F2"/>
                  <w:noWrap/>
                  <w:vAlign w:val="center"/>
                  <w:hideMark/>
                </w:tcPr>
                <w:p w14:paraId="6CB76336"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 xml:space="preserve">Total </w:t>
                  </w:r>
                  <w:proofErr w:type="spellStart"/>
                  <w:r w:rsidRPr="0036045D">
                    <w:rPr>
                      <w:b/>
                      <w:bCs/>
                      <w:color w:val="000000"/>
                      <w:sz w:val="22"/>
                      <w:szCs w:val="22"/>
                      <w:lang w:val="ro-RO" w:eastAsia="ro-RO"/>
                    </w:rPr>
                    <w:t>Știinta</w:t>
                  </w:r>
                  <w:proofErr w:type="spellEnd"/>
                  <w:r w:rsidRPr="0036045D">
                    <w:rPr>
                      <w:b/>
                      <w:bCs/>
                      <w:color w:val="000000"/>
                      <w:sz w:val="22"/>
                      <w:szCs w:val="22"/>
                      <w:lang w:val="ro-RO" w:eastAsia="ro-RO"/>
                    </w:rPr>
                    <w:t xml:space="preserve"> și Inovare</w:t>
                  </w:r>
                </w:p>
              </w:tc>
              <w:tc>
                <w:tcPr>
                  <w:tcW w:w="698" w:type="dxa"/>
                  <w:tcBorders>
                    <w:top w:val="nil"/>
                    <w:left w:val="nil"/>
                    <w:bottom w:val="nil"/>
                    <w:right w:val="single" w:sz="4" w:space="0" w:color="auto"/>
                  </w:tcBorders>
                  <w:shd w:val="clear" w:color="000000" w:fill="F2F2F2"/>
                  <w:noWrap/>
                  <w:vAlign w:val="center"/>
                  <w:hideMark/>
                </w:tcPr>
                <w:p w14:paraId="526607ED"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65</w:t>
                  </w:r>
                </w:p>
              </w:tc>
              <w:tc>
                <w:tcPr>
                  <w:tcW w:w="1462" w:type="dxa"/>
                  <w:tcBorders>
                    <w:top w:val="nil"/>
                    <w:left w:val="nil"/>
                    <w:bottom w:val="nil"/>
                    <w:right w:val="single" w:sz="4" w:space="0" w:color="auto"/>
                  </w:tcBorders>
                  <w:shd w:val="clear" w:color="000000" w:fill="F2F2F2"/>
                  <w:noWrap/>
                  <w:vAlign w:val="center"/>
                  <w:hideMark/>
                </w:tcPr>
                <w:p w14:paraId="2F4AEBE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6,455.6</w:t>
                  </w:r>
                </w:p>
              </w:tc>
              <w:tc>
                <w:tcPr>
                  <w:tcW w:w="650" w:type="dxa"/>
                  <w:tcBorders>
                    <w:top w:val="nil"/>
                    <w:left w:val="nil"/>
                    <w:bottom w:val="nil"/>
                    <w:right w:val="single" w:sz="4" w:space="0" w:color="auto"/>
                  </w:tcBorders>
                  <w:shd w:val="clear" w:color="000000" w:fill="F2F2F2"/>
                  <w:noWrap/>
                  <w:vAlign w:val="center"/>
                  <w:hideMark/>
                </w:tcPr>
                <w:p w14:paraId="684A0BA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65</w:t>
                  </w:r>
                </w:p>
              </w:tc>
              <w:tc>
                <w:tcPr>
                  <w:tcW w:w="1350" w:type="dxa"/>
                  <w:tcBorders>
                    <w:top w:val="nil"/>
                    <w:left w:val="nil"/>
                    <w:bottom w:val="nil"/>
                    <w:right w:val="nil"/>
                  </w:tcBorders>
                  <w:shd w:val="clear" w:color="000000" w:fill="F2F2F2"/>
                  <w:noWrap/>
                  <w:vAlign w:val="center"/>
                  <w:hideMark/>
                </w:tcPr>
                <w:p w14:paraId="7BAF2CE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6,455.6</w:t>
                  </w:r>
                </w:p>
              </w:tc>
              <w:tc>
                <w:tcPr>
                  <w:tcW w:w="940" w:type="dxa"/>
                  <w:tcBorders>
                    <w:top w:val="nil"/>
                    <w:left w:val="single" w:sz="8" w:space="0" w:color="auto"/>
                    <w:bottom w:val="nil"/>
                    <w:right w:val="single" w:sz="8" w:space="0" w:color="auto"/>
                  </w:tcBorders>
                  <w:shd w:val="clear" w:color="000000" w:fill="F2F2F2"/>
                  <w:noWrap/>
                  <w:vAlign w:val="bottom"/>
                  <w:hideMark/>
                </w:tcPr>
                <w:p w14:paraId="0A5BD067"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 </w:t>
                  </w:r>
                </w:p>
              </w:tc>
            </w:tr>
            <w:tr w:rsidR="00121570" w:rsidRPr="0036045D" w14:paraId="4E9AF26F" w14:textId="77777777" w:rsidTr="00121570">
              <w:trPr>
                <w:trHeight w:val="315"/>
              </w:trPr>
              <w:tc>
                <w:tcPr>
                  <w:tcW w:w="284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3BE04F73" w14:textId="77777777" w:rsidR="00121570" w:rsidRPr="0036045D" w:rsidRDefault="00121570" w:rsidP="00121570">
                  <w:pPr>
                    <w:ind w:firstLine="0"/>
                    <w:jc w:val="left"/>
                    <w:rPr>
                      <w:b/>
                      <w:bCs/>
                      <w:color w:val="000000"/>
                      <w:sz w:val="22"/>
                      <w:szCs w:val="22"/>
                      <w:lang w:val="ro-RO" w:eastAsia="ro-RO"/>
                    </w:rPr>
                  </w:pPr>
                  <w:r w:rsidRPr="0036045D">
                    <w:rPr>
                      <w:b/>
                      <w:bCs/>
                      <w:color w:val="000000"/>
                      <w:sz w:val="22"/>
                      <w:szCs w:val="22"/>
                      <w:lang w:val="ro-RO" w:eastAsia="ro-RO"/>
                    </w:rPr>
                    <w:t>Total</w:t>
                  </w:r>
                </w:p>
              </w:tc>
              <w:tc>
                <w:tcPr>
                  <w:tcW w:w="698" w:type="dxa"/>
                  <w:tcBorders>
                    <w:top w:val="single" w:sz="8" w:space="0" w:color="auto"/>
                    <w:left w:val="nil"/>
                    <w:bottom w:val="single" w:sz="8" w:space="0" w:color="auto"/>
                    <w:right w:val="single" w:sz="4" w:space="0" w:color="auto"/>
                  </w:tcBorders>
                  <w:shd w:val="clear" w:color="000000" w:fill="F2F2F2"/>
                  <w:noWrap/>
                  <w:vAlign w:val="center"/>
                  <w:hideMark/>
                </w:tcPr>
                <w:p w14:paraId="2754CE03"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1623</w:t>
                  </w:r>
                </w:p>
              </w:tc>
              <w:tc>
                <w:tcPr>
                  <w:tcW w:w="1462" w:type="dxa"/>
                  <w:tcBorders>
                    <w:top w:val="single" w:sz="8" w:space="0" w:color="auto"/>
                    <w:left w:val="nil"/>
                    <w:bottom w:val="single" w:sz="8" w:space="0" w:color="auto"/>
                    <w:right w:val="single" w:sz="4" w:space="0" w:color="auto"/>
                  </w:tcBorders>
                  <w:shd w:val="clear" w:color="000000" w:fill="F2F2F2"/>
                  <w:noWrap/>
                  <w:vAlign w:val="center"/>
                  <w:hideMark/>
                </w:tcPr>
                <w:p w14:paraId="7B701DC1"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262,781.2</w:t>
                  </w:r>
                </w:p>
              </w:tc>
              <w:tc>
                <w:tcPr>
                  <w:tcW w:w="650" w:type="dxa"/>
                  <w:tcBorders>
                    <w:top w:val="single" w:sz="8" w:space="0" w:color="auto"/>
                    <w:left w:val="nil"/>
                    <w:bottom w:val="single" w:sz="8" w:space="0" w:color="auto"/>
                    <w:right w:val="single" w:sz="4" w:space="0" w:color="auto"/>
                  </w:tcBorders>
                  <w:shd w:val="clear" w:color="000000" w:fill="F2F2F2"/>
                  <w:noWrap/>
                  <w:vAlign w:val="center"/>
                  <w:hideMark/>
                </w:tcPr>
                <w:p w14:paraId="17327F0F"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1627</w:t>
                  </w:r>
                </w:p>
              </w:tc>
              <w:tc>
                <w:tcPr>
                  <w:tcW w:w="1350" w:type="dxa"/>
                  <w:tcBorders>
                    <w:top w:val="single" w:sz="8" w:space="0" w:color="auto"/>
                    <w:left w:val="nil"/>
                    <w:bottom w:val="single" w:sz="8" w:space="0" w:color="auto"/>
                    <w:right w:val="nil"/>
                  </w:tcBorders>
                  <w:shd w:val="clear" w:color="000000" w:fill="F2F2F2"/>
                  <w:noWrap/>
                  <w:vAlign w:val="center"/>
                  <w:hideMark/>
                </w:tcPr>
                <w:p w14:paraId="0741255D"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262,781.2</w:t>
                  </w:r>
                </w:p>
              </w:tc>
              <w:tc>
                <w:tcPr>
                  <w:tcW w:w="94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9431C20" w14:textId="77777777" w:rsidR="00121570" w:rsidRPr="0036045D" w:rsidRDefault="00121570" w:rsidP="00121570">
                  <w:pPr>
                    <w:ind w:firstLine="0"/>
                    <w:jc w:val="center"/>
                    <w:rPr>
                      <w:b/>
                      <w:bCs/>
                      <w:color w:val="000000"/>
                      <w:sz w:val="22"/>
                      <w:szCs w:val="22"/>
                      <w:lang w:val="ro-RO" w:eastAsia="ro-RO"/>
                    </w:rPr>
                  </w:pPr>
                  <w:r w:rsidRPr="0036045D">
                    <w:rPr>
                      <w:b/>
                      <w:bCs/>
                      <w:color w:val="000000"/>
                      <w:sz w:val="22"/>
                      <w:szCs w:val="22"/>
                      <w:lang w:val="ro-RO" w:eastAsia="ro-RO"/>
                    </w:rPr>
                    <w:t>4.0</w:t>
                  </w:r>
                </w:p>
              </w:tc>
            </w:tr>
          </w:tbl>
          <w:p w14:paraId="34A4047D" w14:textId="77777777" w:rsidR="0036045D" w:rsidRDefault="0036045D" w:rsidP="001B0744">
            <w:pPr>
              <w:rPr>
                <w:rFonts w:ascii="Times New Roman" w:hAnsi="Times New Roman"/>
                <w:sz w:val="24"/>
                <w:szCs w:val="24"/>
                <w:lang w:val="ro-RO"/>
              </w:rPr>
            </w:pPr>
          </w:p>
          <w:p w14:paraId="5EE29A0F" w14:textId="594E8729" w:rsidR="00B867EB" w:rsidRDefault="001B0744" w:rsidP="001B0744">
            <w:pPr>
              <w:rPr>
                <w:rFonts w:ascii="Times New Roman" w:hAnsi="Times New Roman"/>
                <w:sz w:val="24"/>
                <w:szCs w:val="24"/>
                <w:lang w:val="ro-RO"/>
              </w:rPr>
            </w:pPr>
            <w:r w:rsidRPr="001B0744">
              <w:rPr>
                <w:rFonts w:ascii="Times New Roman" w:hAnsi="Times New Roman"/>
                <w:sz w:val="24"/>
                <w:szCs w:val="24"/>
                <w:lang w:val="ro-RO"/>
              </w:rPr>
              <w:t xml:space="preserve">În scopul asigurării identificării și protecției personalului ANSP cu drept de control de stat în exercitarea atribuțiilor funcționale, precum și alinierii la personalul altor autorități cu drept de control, care în exercitarea atribuțiilor sunt asigurați cu uniforme de serviciu, proiectul de document transpune inclusiv și prevederile art. 18, alin. (5) din Legea nr. 10/2009 privind supravegherea de stat a sănătății publice, prin care este stabilit că, în exercițiul funcției, personalul abilitat cu funcții de control de stat în sănătate publică (inspectorii) poartă uniformă de serviciu de model stabilit, cu semne de distincție corespunzătoare, care  se aprobă de către Guvern. </w:t>
            </w:r>
          </w:p>
          <w:p w14:paraId="5EC779ED" w14:textId="52782A68" w:rsidR="00944AFE" w:rsidRPr="00A7595E" w:rsidRDefault="00944AFE" w:rsidP="001B0744">
            <w:pPr>
              <w:rPr>
                <w:rFonts w:ascii="Times New Roman" w:hAnsi="Times New Roman"/>
                <w:sz w:val="24"/>
                <w:szCs w:val="24"/>
                <w:lang w:val="ro-RO"/>
              </w:rPr>
            </w:pPr>
            <w:r>
              <w:rPr>
                <w:rFonts w:ascii="Times New Roman" w:hAnsi="Times New Roman"/>
                <w:sz w:val="24"/>
                <w:szCs w:val="24"/>
                <w:lang w:val="ro-RO"/>
              </w:rPr>
              <w:lastRenderedPageBreak/>
              <w:t xml:space="preserve">Totodată menționăm că în bugetul ANSP pentru anul 2024 sunt prevăzute mijloace financiare în sumă de 600,0 mii lei pentru achiziționarea </w:t>
            </w:r>
            <w:r w:rsidRPr="001B0744">
              <w:rPr>
                <w:rFonts w:ascii="Times New Roman" w:hAnsi="Times New Roman"/>
                <w:sz w:val="24"/>
                <w:szCs w:val="24"/>
                <w:lang w:val="ro-RO"/>
              </w:rPr>
              <w:t>uniform</w:t>
            </w:r>
            <w:r>
              <w:rPr>
                <w:rFonts w:ascii="Times New Roman" w:hAnsi="Times New Roman"/>
                <w:sz w:val="24"/>
                <w:szCs w:val="24"/>
                <w:lang w:val="ro-RO"/>
              </w:rPr>
              <w:t>ei</w:t>
            </w:r>
            <w:r w:rsidRPr="001B0744">
              <w:rPr>
                <w:rFonts w:ascii="Times New Roman" w:hAnsi="Times New Roman"/>
                <w:sz w:val="24"/>
                <w:szCs w:val="24"/>
                <w:lang w:val="ro-RO"/>
              </w:rPr>
              <w:t xml:space="preserve"> de serviciu</w:t>
            </w:r>
            <w:r>
              <w:rPr>
                <w:rFonts w:ascii="Times New Roman" w:hAnsi="Times New Roman"/>
                <w:sz w:val="24"/>
                <w:szCs w:val="24"/>
                <w:lang w:val="ro-RO"/>
              </w:rPr>
              <w:t xml:space="preserve"> pentru funcțiile de </w:t>
            </w:r>
            <w:r w:rsidRPr="001B0744">
              <w:rPr>
                <w:rFonts w:ascii="Times New Roman" w:hAnsi="Times New Roman"/>
                <w:sz w:val="24"/>
                <w:szCs w:val="24"/>
                <w:lang w:val="ro-RO"/>
              </w:rPr>
              <w:t>control de stat în sănătate publică (inspectorii)</w:t>
            </w:r>
            <w:r>
              <w:rPr>
                <w:rFonts w:ascii="Times New Roman" w:hAnsi="Times New Roman"/>
                <w:sz w:val="24"/>
                <w:szCs w:val="24"/>
                <w:lang w:val="ro-RO"/>
              </w:rPr>
              <w:t>.</w:t>
            </w:r>
          </w:p>
        </w:tc>
      </w:tr>
      <w:tr w:rsidR="00B867EB" w:rsidRPr="00A7595E" w14:paraId="0940071E"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B10CAD" w14:textId="7777777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lastRenderedPageBreak/>
              <w:t>4.3. Impactul asupra sectorului privat</w:t>
            </w:r>
          </w:p>
        </w:tc>
      </w:tr>
      <w:tr w:rsidR="00B867EB" w:rsidRPr="0036045D" w14:paraId="3E43E40F"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4EAB82" w14:textId="7777777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Conform documentului, proiectul de hotărâre are impacturi minime asupra sectorului privat, cu următoarele puncte esențiale:</w:t>
            </w:r>
          </w:p>
          <w:p w14:paraId="07E48971" w14:textId="6F6D7402"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Prevederile proiectului de hotărâre nu stabilesc costuri suplimentare din partea operatorilor din domeniu sau a persoanelor private. Prin urmare, sectorul privat nu va fi obligat să suporte cheltuieli adiționale pentru conformare.</w:t>
            </w:r>
          </w:p>
          <w:p w14:paraId="1594570D" w14:textId="6A3160EF" w:rsidR="00B867EB" w:rsidRPr="00A7595E" w:rsidRDefault="00195E6A" w:rsidP="00B867EB">
            <w:pPr>
              <w:rPr>
                <w:rFonts w:ascii="Times New Roman" w:hAnsi="Times New Roman"/>
                <w:sz w:val="24"/>
                <w:szCs w:val="24"/>
                <w:lang w:val="ro-RO"/>
              </w:rPr>
            </w:pPr>
            <w:r>
              <w:rPr>
                <w:rFonts w:ascii="Times New Roman" w:hAnsi="Times New Roman"/>
                <w:sz w:val="24"/>
                <w:szCs w:val="24"/>
                <w:lang w:val="ro-RO"/>
              </w:rPr>
              <w:t>Totodată, p</w:t>
            </w:r>
            <w:r w:rsidR="00B867EB" w:rsidRPr="00A7595E">
              <w:rPr>
                <w:rFonts w:ascii="Times New Roman" w:hAnsi="Times New Roman"/>
                <w:sz w:val="24"/>
                <w:szCs w:val="24"/>
                <w:lang w:val="ro-RO"/>
              </w:rPr>
              <w:t>roiectul elimină suprapunerile de competențe între ANSP și alte autorități de control, ceea ce va reduce confuzia și ineficiențele pentru agenții economici. Acest lucru va simplifica procesele administrative și va facilita conformitatea operatorilor economici cu reglementările în vigoare.</w:t>
            </w:r>
          </w:p>
          <w:p w14:paraId="524F10CA" w14:textId="2C342953"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Proiectul de hotărâre este conceput pentru a optimiza funcționarea ANSP fără a impune costuri suplimentare sectorului privat. Îmbunătățirile propuse în supravegherea pieței și clarificarea competențelor de control sunt de natură să beneficieze agenții economici prin reducerea birocrației și a incertitudinilor administrative.</w:t>
            </w:r>
          </w:p>
        </w:tc>
      </w:tr>
      <w:tr w:rsidR="00B867EB" w:rsidRPr="00A7595E" w14:paraId="2272B878"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8E41E7F" w14:textId="6B807EFF"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4.4. Impactul social</w:t>
            </w:r>
          </w:p>
        </w:tc>
      </w:tr>
      <w:tr w:rsidR="00B867EB" w:rsidRPr="0036045D" w14:paraId="3A2E9E44"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DFF7B4" w14:textId="6FB76B65" w:rsidR="00B867EB" w:rsidRPr="00A7595E" w:rsidRDefault="00B867EB" w:rsidP="00B867EB">
            <w:pPr>
              <w:rPr>
                <w:sz w:val="24"/>
                <w:szCs w:val="24"/>
                <w:lang w:val="ro-RO"/>
              </w:rPr>
            </w:pPr>
            <w:r w:rsidRPr="00A7595E">
              <w:rPr>
                <w:rFonts w:ascii="Times New Roman" w:hAnsi="Times New Roman"/>
                <w:sz w:val="24"/>
                <w:szCs w:val="24"/>
                <w:lang w:val="ro-RO"/>
              </w:rPr>
              <w:t xml:space="preserve">Implementarea proiectului de hotărâre va aduce beneficii semnificative pentru sănătatea publică, condițiile de muncă ale personalului ANSP și capacitatea instituției de a răspunde eficient la urgențele de sănătate publică. Impactul social este pozitiv, contribuind la îmbunătățirea sănătății și securității muncii, precum și la dezvoltarea profesională a angajaților. </w:t>
            </w:r>
          </w:p>
        </w:tc>
      </w:tr>
      <w:tr w:rsidR="00B867EB" w:rsidRPr="0036045D" w14:paraId="3FACD861"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4A2652" w14:textId="3B94DA5F"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4.4.1. Impactul asupra datelor cu caracter personal</w:t>
            </w:r>
          </w:p>
        </w:tc>
      </w:tr>
      <w:tr w:rsidR="00B867EB" w:rsidRPr="0036045D" w14:paraId="5FF9706A"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5F66D9" w14:textId="03C31204"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 xml:space="preserve">Impactul asupra datelor cu caracter personal este tratat cu prioritate în cadrul proiectului de hotărâre, prin instituirea unor structuri și proceduri clare de gestionare și protecție a acestor date. Implementarea sistemelor electronice avansate și monitorizarea permanentă vor asigura o protecție adecvată a datelor personale, conform standardelor naționale și internaționale. </w:t>
            </w:r>
          </w:p>
        </w:tc>
      </w:tr>
      <w:tr w:rsidR="00B867EB" w:rsidRPr="0036045D" w14:paraId="3FD80CD3"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FBB192" w14:textId="7D9E5411" w:rsidR="00B867EB" w:rsidRPr="00A7595E" w:rsidRDefault="00B867EB" w:rsidP="00B867EB">
            <w:pPr>
              <w:rPr>
                <w:sz w:val="24"/>
                <w:szCs w:val="24"/>
                <w:lang w:val="ro-RO"/>
              </w:rPr>
            </w:pPr>
            <w:r w:rsidRPr="00A7595E">
              <w:rPr>
                <w:rFonts w:ascii="Times New Roman" w:hAnsi="Times New Roman"/>
                <w:sz w:val="24"/>
                <w:szCs w:val="24"/>
                <w:lang w:val="ro-RO"/>
              </w:rPr>
              <w:t>4.4.2. Impactul asupra echității și egalității de gen</w:t>
            </w:r>
          </w:p>
        </w:tc>
      </w:tr>
      <w:tr w:rsidR="00B867EB" w:rsidRPr="0036045D" w14:paraId="599E652C"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FA8A74" w14:textId="5ED33A3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Proiectul de hotărâre contribuie la promovarea echității și egalității de gen prin redistribuirea echitabilă a personalului, acces egal la oportunități, îmbunătățirea sănătății publice și prin asigurarea unui cadru de monitorizare și evaluare transparent. Astfel, se asigură că măsurile luate vor avea un impact pozitiv și nediscriminatoriu asupra tuturor angajaților și beneficiarii serviciilor ANSP.</w:t>
            </w:r>
          </w:p>
        </w:tc>
      </w:tr>
      <w:tr w:rsidR="00B867EB" w:rsidRPr="00A7595E" w14:paraId="0A2D82CD"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61B8E44" w14:textId="7777777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4.5. Impactul asupra mediului</w:t>
            </w:r>
          </w:p>
        </w:tc>
      </w:tr>
      <w:tr w:rsidR="00B867EB" w:rsidRPr="0036045D" w14:paraId="46303CF8"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3B5B73" w14:textId="7421C0B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Proiectul de hotărâre are un impact minim asupra mediului, concentrându-se pe îmbunătățirea eficienței operaționale a ANSP fără a genera efecte negative asupra calității aerului, apei, biodiversității sau resurselor naturale. Măsurile propuse pentru gestionarea deșeurilor și utilizarea eficientă a resurselor contribuie la protecția mediului și promovarea practicilor durabile.</w:t>
            </w:r>
          </w:p>
        </w:tc>
      </w:tr>
      <w:tr w:rsidR="00B867EB" w:rsidRPr="00A7595E" w14:paraId="7EB1026A"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EFF9983" w14:textId="7777777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4.6. Alte impacturi și informații relevante</w:t>
            </w:r>
          </w:p>
        </w:tc>
      </w:tr>
      <w:tr w:rsidR="00B867EB" w:rsidRPr="0036045D" w14:paraId="629E4FC3" w14:textId="77777777" w:rsidTr="00B867EB">
        <w:tc>
          <w:tcPr>
            <w:tcW w:w="90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B695D1" w14:textId="2B3CA36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 xml:space="preserve">Implementarea proiectului de hotărâre va aduce multiple beneficii instituționale și sociale, fortificând capacitatea ANSP de a răspunde eficient la urgențele de sănătate publică și îmbunătățind funcționalitatea generală a agenției. Consultarea publică și implicarea părților interesate </w:t>
            </w:r>
            <w:r w:rsidR="00A7595E" w:rsidRPr="00A7595E">
              <w:rPr>
                <w:rFonts w:ascii="Times New Roman" w:hAnsi="Times New Roman"/>
                <w:sz w:val="24"/>
                <w:szCs w:val="24"/>
                <w:lang w:val="ro-RO"/>
              </w:rPr>
              <w:t xml:space="preserve">va </w:t>
            </w:r>
            <w:r w:rsidRPr="00A7595E">
              <w:rPr>
                <w:rFonts w:ascii="Times New Roman" w:hAnsi="Times New Roman"/>
                <w:sz w:val="24"/>
                <w:szCs w:val="24"/>
                <w:lang w:val="ro-RO"/>
              </w:rPr>
              <w:t>asigur</w:t>
            </w:r>
            <w:r w:rsidR="00A7595E" w:rsidRPr="00A7595E">
              <w:rPr>
                <w:rFonts w:ascii="Times New Roman" w:hAnsi="Times New Roman"/>
                <w:sz w:val="24"/>
                <w:szCs w:val="24"/>
                <w:lang w:val="ro-RO"/>
              </w:rPr>
              <w:t>a</w:t>
            </w:r>
            <w:r w:rsidRPr="00A7595E">
              <w:rPr>
                <w:rFonts w:ascii="Times New Roman" w:hAnsi="Times New Roman"/>
                <w:sz w:val="24"/>
                <w:szCs w:val="24"/>
                <w:lang w:val="ro-RO"/>
              </w:rPr>
              <w:t xml:space="preserve"> transparența și acceptabilitatea proiectului.</w:t>
            </w:r>
          </w:p>
        </w:tc>
      </w:tr>
      <w:tr w:rsidR="00B867EB" w:rsidRPr="0036045D" w14:paraId="78081263"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E66C7B3" w14:textId="77777777" w:rsidR="00B867EB" w:rsidRPr="00A7595E" w:rsidRDefault="00B867EB" w:rsidP="00B867EB">
            <w:pPr>
              <w:rPr>
                <w:rFonts w:ascii="Times New Roman" w:hAnsi="Times New Roman"/>
                <w:b/>
                <w:bCs/>
                <w:sz w:val="24"/>
                <w:szCs w:val="24"/>
                <w:lang w:val="ro-RO"/>
              </w:rPr>
            </w:pPr>
            <w:r w:rsidRPr="00A7595E">
              <w:rPr>
                <w:rFonts w:ascii="Times New Roman" w:hAnsi="Times New Roman"/>
                <w:b/>
                <w:bCs/>
                <w:sz w:val="24"/>
                <w:szCs w:val="24"/>
                <w:lang w:val="ro-RO"/>
              </w:rPr>
              <w:t xml:space="preserve">5. Compatibilitatea proiectului actului normativ cu legislația UE </w:t>
            </w:r>
          </w:p>
        </w:tc>
      </w:tr>
      <w:tr w:rsidR="00B867EB" w:rsidRPr="0036045D" w14:paraId="38185D6B"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8B6639D" w14:textId="7777777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lastRenderedPageBreak/>
              <w:t>5.1. Măsuri normative necesare pentru transpunerea actelor juridice ale UE în legislația națională</w:t>
            </w:r>
          </w:p>
        </w:tc>
      </w:tr>
      <w:tr w:rsidR="00B867EB" w:rsidRPr="0036045D" w14:paraId="45F13E4B"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6E9258" w14:textId="539FD25E" w:rsidR="00B867EB" w:rsidRPr="00A7595E" w:rsidRDefault="00B867EB" w:rsidP="00B867EB">
            <w:pPr>
              <w:rPr>
                <w:sz w:val="24"/>
                <w:szCs w:val="24"/>
                <w:lang w:val="ro-RO"/>
              </w:rPr>
            </w:pPr>
            <w:r w:rsidRPr="00A7595E">
              <w:rPr>
                <w:rFonts w:ascii="Times New Roman" w:hAnsi="Times New Roman"/>
                <w:sz w:val="24"/>
                <w:szCs w:val="24"/>
                <w:lang w:val="ro-RO"/>
              </w:rPr>
              <w:t>Proiectul nu vizează direct armonizarea legislației naționale cu legislația UE.</w:t>
            </w:r>
          </w:p>
        </w:tc>
      </w:tr>
      <w:tr w:rsidR="00B867EB" w:rsidRPr="00A7595E" w14:paraId="2A4C87A9"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C4B47B" w14:textId="77777777"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5.2. Măsuri normative care urmăresc crearea cadrului juridic intern necesar pentru implementarea legislației UE</w:t>
            </w:r>
          </w:p>
        </w:tc>
      </w:tr>
      <w:tr w:rsidR="00B867EB" w:rsidRPr="00A7595E" w14:paraId="0E0D6DE2" w14:textId="77777777" w:rsidTr="00B867EB">
        <w:tc>
          <w:tcPr>
            <w:tcW w:w="90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FD21FB" w14:textId="46A60D24"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Prezentul proiect nu creează cadrul juridic necesar pentru implementarea legislației UE în domeniul sănătății publice.</w:t>
            </w:r>
          </w:p>
        </w:tc>
      </w:tr>
      <w:tr w:rsidR="00B867EB" w:rsidRPr="00A7595E" w14:paraId="28F9288D"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43D2675" w14:textId="77777777" w:rsidR="00B867EB" w:rsidRPr="00A7595E" w:rsidRDefault="00B867EB" w:rsidP="00B867EB">
            <w:pPr>
              <w:rPr>
                <w:rFonts w:ascii="Times New Roman" w:hAnsi="Times New Roman"/>
                <w:b/>
                <w:bCs/>
                <w:sz w:val="24"/>
                <w:szCs w:val="24"/>
                <w:lang w:val="ro-RO"/>
              </w:rPr>
            </w:pPr>
            <w:r w:rsidRPr="00A7595E">
              <w:rPr>
                <w:rFonts w:ascii="Times New Roman" w:hAnsi="Times New Roman"/>
                <w:b/>
                <w:bCs/>
                <w:sz w:val="24"/>
                <w:szCs w:val="24"/>
                <w:lang w:val="ro-RO"/>
              </w:rPr>
              <w:t>6. Avizarea și consultarea publică a proiectului actului normativ</w:t>
            </w:r>
          </w:p>
        </w:tc>
      </w:tr>
      <w:tr w:rsidR="00B867EB" w:rsidRPr="0036045D" w14:paraId="77397556" w14:textId="77777777" w:rsidTr="00B867EB">
        <w:tc>
          <w:tcPr>
            <w:tcW w:w="90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EFC0B5" w14:textId="66AAAC83"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În conformitate cu prevederile art. 8 lit. a) și art. 9 alin. (1) și (2) din Legea nr. 239/2008 privind transparența în procesul decizional, proiectul urmează a fi supus avizării și consultării publice.</w:t>
            </w:r>
          </w:p>
          <w:p w14:paraId="52E32002" w14:textId="30AC5FF4"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Totodată, pentru a respecta prevederile legislative privind transparența în procesul de consultare publică, a fost plasat anunțul privind inițierea procesului de elaborare a proiectului hotărârii Guvernului, pe pagina web oficială a Ministerului Sănătății, compartimentul „Transparență”, Proiecte supuse consultărilor publice” și pe portalul guvernamental (www.particip.gov.md) și poate fi accesat la linkul:</w:t>
            </w:r>
          </w:p>
          <w:p w14:paraId="0DD30924" w14:textId="7FB00159" w:rsidR="00B867EB" w:rsidRDefault="00000000" w:rsidP="00E1322A">
            <w:pPr>
              <w:rPr>
                <w:rFonts w:ascii="Times New Roman" w:hAnsi="Times New Roman"/>
                <w:sz w:val="24"/>
                <w:szCs w:val="24"/>
                <w:lang w:val="ro-RO"/>
              </w:rPr>
            </w:pPr>
            <w:hyperlink r:id="rId11" w:history="1">
              <w:r w:rsidR="00B867EB" w:rsidRPr="00A7595E">
                <w:rPr>
                  <w:rStyle w:val="Hyperlink"/>
                  <w:rFonts w:ascii="Times New Roman" w:hAnsi="Times New Roman"/>
                  <w:sz w:val="24"/>
                  <w:szCs w:val="24"/>
                  <w:shd w:val="clear" w:color="auto" w:fill="FFFFFF"/>
                  <w:lang w:val="ro-RO"/>
                </w:rPr>
                <w:t>https://particip.gov.md/ro/document/stages/*/1242</w:t>
              </w:r>
              <w:r w:rsidR="00B867EB" w:rsidRPr="00A7595E">
                <w:rPr>
                  <w:rStyle w:val="Hyperlink"/>
                  <w:rFonts w:ascii="Times New Roman" w:hAnsi="Times New Roman"/>
                  <w:sz w:val="24"/>
                  <w:szCs w:val="24"/>
                  <w:lang w:val="ro-RO"/>
                </w:rPr>
                <w:t>2</w:t>
              </w:r>
            </w:hyperlink>
          </w:p>
          <w:p w14:paraId="79957F16" w14:textId="58944FF5" w:rsidR="0036045D" w:rsidRPr="00A7595E" w:rsidRDefault="0036045D" w:rsidP="00E1322A">
            <w:pPr>
              <w:rPr>
                <w:rFonts w:ascii="Times New Roman" w:hAnsi="Times New Roman"/>
                <w:sz w:val="24"/>
                <w:szCs w:val="24"/>
                <w:lang w:val="ro-RO"/>
              </w:rPr>
            </w:pPr>
          </w:p>
        </w:tc>
      </w:tr>
      <w:tr w:rsidR="00B867EB" w:rsidRPr="00A7595E" w14:paraId="1BE3901D"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257584E" w14:textId="77777777" w:rsidR="00B867EB" w:rsidRPr="00A7595E" w:rsidRDefault="00B867EB" w:rsidP="00B867EB">
            <w:pPr>
              <w:rPr>
                <w:rFonts w:ascii="Times New Roman" w:hAnsi="Times New Roman"/>
                <w:b/>
                <w:bCs/>
                <w:sz w:val="24"/>
                <w:szCs w:val="24"/>
                <w:lang w:val="ro-RO"/>
              </w:rPr>
            </w:pPr>
            <w:r w:rsidRPr="00A7595E">
              <w:rPr>
                <w:rFonts w:ascii="Times New Roman" w:hAnsi="Times New Roman"/>
                <w:b/>
                <w:bCs/>
                <w:sz w:val="24"/>
                <w:szCs w:val="24"/>
                <w:lang w:val="ro-RO"/>
              </w:rPr>
              <w:t>7. Concluziile expertizelor</w:t>
            </w:r>
          </w:p>
        </w:tc>
      </w:tr>
      <w:tr w:rsidR="00B867EB" w:rsidRPr="0036045D" w14:paraId="524FCABD"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1C720B" w14:textId="52B84B79" w:rsidR="00B867EB" w:rsidRPr="00A7595E" w:rsidRDefault="00B867EB" w:rsidP="00B867EB">
            <w:pPr>
              <w:rPr>
                <w:rFonts w:ascii="Times New Roman" w:hAnsi="Times New Roman"/>
                <w:sz w:val="24"/>
                <w:szCs w:val="24"/>
                <w:lang w:val="ro-RO"/>
              </w:rPr>
            </w:pPr>
            <w:r w:rsidRPr="00A7595E">
              <w:rPr>
                <w:rFonts w:ascii="Times New Roman" w:hAnsi="Times New Roman"/>
                <w:sz w:val="24"/>
                <w:szCs w:val="24"/>
                <w:lang w:val="ro-RO"/>
              </w:rPr>
              <w:t>Proiectul urmează a fi supus expertizei anticorupție și juridice în conformitate cu procedura stabilită în Legea nr. 100/2017 cu privire la actele normative.</w:t>
            </w:r>
          </w:p>
        </w:tc>
      </w:tr>
      <w:tr w:rsidR="00B867EB" w:rsidRPr="00A7595E" w14:paraId="56BA7B45"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219E15" w14:textId="77777777" w:rsidR="00B867EB" w:rsidRPr="00A7595E" w:rsidRDefault="00B867EB" w:rsidP="00B867EB">
            <w:pPr>
              <w:rPr>
                <w:rFonts w:ascii="Times New Roman" w:hAnsi="Times New Roman"/>
                <w:b/>
                <w:bCs/>
                <w:sz w:val="24"/>
                <w:szCs w:val="24"/>
                <w:lang w:val="ro-RO"/>
              </w:rPr>
            </w:pPr>
            <w:r w:rsidRPr="00A7595E">
              <w:rPr>
                <w:rFonts w:ascii="Times New Roman" w:hAnsi="Times New Roman"/>
                <w:b/>
                <w:bCs/>
                <w:sz w:val="24"/>
                <w:szCs w:val="24"/>
                <w:lang w:val="ro-RO"/>
              </w:rPr>
              <w:t>8. Modul de încorporare a actului în cadrul normativ existent</w:t>
            </w:r>
          </w:p>
        </w:tc>
      </w:tr>
      <w:tr w:rsidR="00B867EB" w:rsidRPr="003658D6" w14:paraId="71AA2E46" w14:textId="77777777" w:rsidTr="00B867EB">
        <w:tc>
          <w:tcPr>
            <w:tcW w:w="90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17F8A2" w14:textId="1F65EA20" w:rsidR="00B867EB" w:rsidRPr="003658D6" w:rsidRDefault="00D07AA6" w:rsidP="003658D6">
            <w:pPr>
              <w:rPr>
                <w:rFonts w:ascii="Times New Roman" w:hAnsi="Times New Roman"/>
                <w:sz w:val="24"/>
                <w:szCs w:val="24"/>
                <w:lang w:val="ro-RO"/>
              </w:rPr>
            </w:pPr>
            <w:r w:rsidRPr="00A7595E">
              <w:rPr>
                <w:rFonts w:ascii="Times New Roman" w:hAnsi="Times New Roman"/>
                <w:sz w:val="24"/>
                <w:szCs w:val="24"/>
                <w:lang w:val="ro-RO"/>
              </w:rPr>
              <w:t xml:space="preserve">Proiectul de hotărâre privind optimizarea structurii organizaționale și atribuțiilor funcționale ale Agenției Naționale pentru Sănătate Publică </w:t>
            </w:r>
            <w:r w:rsidR="003658D6" w:rsidRPr="003658D6">
              <w:rPr>
                <w:rFonts w:ascii="Times New Roman" w:hAnsi="Times New Roman"/>
                <w:sz w:val="24"/>
                <w:szCs w:val="24"/>
                <w:lang w:val="ro-RO"/>
              </w:rPr>
              <w:t>se încadrează în cadrul normativ în vigoare, fără a necesita modificarea cadrului legal conex.</w:t>
            </w:r>
          </w:p>
        </w:tc>
      </w:tr>
      <w:tr w:rsidR="00B867EB" w:rsidRPr="00A7595E" w14:paraId="21293E1F" w14:textId="77777777" w:rsidTr="00B867EB">
        <w:tc>
          <w:tcPr>
            <w:tcW w:w="905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8BE21F3" w14:textId="77777777" w:rsidR="00B867EB" w:rsidRPr="00A7595E" w:rsidRDefault="00B867EB" w:rsidP="00B867EB">
            <w:pPr>
              <w:rPr>
                <w:rFonts w:ascii="Times New Roman" w:hAnsi="Times New Roman"/>
                <w:b/>
                <w:bCs/>
                <w:sz w:val="24"/>
                <w:szCs w:val="24"/>
                <w:lang w:val="ro-RO"/>
              </w:rPr>
            </w:pPr>
            <w:r w:rsidRPr="00A7595E">
              <w:rPr>
                <w:rFonts w:ascii="Times New Roman" w:hAnsi="Times New Roman"/>
                <w:b/>
                <w:bCs/>
                <w:sz w:val="24"/>
                <w:szCs w:val="24"/>
                <w:lang w:val="ro-RO"/>
              </w:rPr>
              <w:t>9. Măsurile necesare pentru implementarea prevederilor proiectului actului normativ</w:t>
            </w:r>
          </w:p>
        </w:tc>
      </w:tr>
      <w:tr w:rsidR="00B867EB" w:rsidRPr="0036045D" w14:paraId="44AD47CD" w14:textId="77777777" w:rsidTr="00B867EB">
        <w:tc>
          <w:tcPr>
            <w:tcW w:w="90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6A8205" w14:textId="77777777" w:rsidR="0059185E" w:rsidRPr="00A7595E" w:rsidRDefault="0059185E" w:rsidP="0059185E">
            <w:pPr>
              <w:rPr>
                <w:rFonts w:ascii="Times New Roman" w:hAnsi="Times New Roman"/>
                <w:sz w:val="24"/>
                <w:szCs w:val="24"/>
                <w:lang w:val="ro-RO"/>
              </w:rPr>
            </w:pPr>
            <w:r w:rsidRPr="00A7595E">
              <w:rPr>
                <w:rFonts w:ascii="Times New Roman" w:hAnsi="Times New Roman"/>
                <w:sz w:val="24"/>
                <w:szCs w:val="24"/>
                <w:lang w:val="ro-RO"/>
              </w:rPr>
              <w:t>Implementarea prevederilor proiectului de hotărâre necesită măsuri complexe și bine coordonate, incluzând ajustarea cadrului normativ, reorganizarea internă a ANSP, instituirea mecanismelor de control intern, supravegherea și evaluarea continuă, colaborarea interinstituțională și adaptarea infrastructurii și resurselor. Aceste măsuri sunt esențiale pentru a asigura o implementare eficientă și pentru a îmbunătăți funcționalitatea și eficacitatea ANSP în protejarea sănătății publice.</w:t>
            </w:r>
          </w:p>
          <w:p w14:paraId="4640F2BE" w14:textId="05C0EF2D" w:rsidR="00B867EB" w:rsidRPr="00A7595E" w:rsidRDefault="00B867EB" w:rsidP="003658D6">
            <w:pPr>
              <w:rPr>
                <w:rFonts w:ascii="Times New Roman" w:hAnsi="Times New Roman"/>
                <w:sz w:val="24"/>
                <w:szCs w:val="24"/>
                <w:lang w:val="ro-RO"/>
              </w:rPr>
            </w:pPr>
            <w:r w:rsidRPr="00A7595E">
              <w:rPr>
                <w:rFonts w:ascii="Times New Roman" w:hAnsi="Times New Roman"/>
                <w:sz w:val="24"/>
                <w:szCs w:val="24"/>
                <w:lang w:val="ro-RO"/>
              </w:rPr>
              <w:t xml:space="preserve">Prezentul proiect va fi implementat </w:t>
            </w:r>
            <w:r w:rsidR="003658D6" w:rsidRPr="00A7595E">
              <w:rPr>
                <w:rFonts w:ascii="Times New Roman" w:hAnsi="Times New Roman"/>
                <w:sz w:val="24"/>
                <w:szCs w:val="24"/>
                <w:lang w:val="ro-RO"/>
              </w:rPr>
              <w:t xml:space="preserve">de către Agenția Națională de Sănătate Publică </w:t>
            </w:r>
            <w:r w:rsidRPr="00A7595E">
              <w:rPr>
                <w:rFonts w:ascii="Times New Roman" w:hAnsi="Times New Roman"/>
                <w:sz w:val="24"/>
                <w:szCs w:val="24"/>
                <w:lang w:val="ro-RO"/>
              </w:rPr>
              <w:t>și monitorizat</w:t>
            </w:r>
            <w:r w:rsidR="003658D6">
              <w:rPr>
                <w:rFonts w:ascii="Times New Roman" w:hAnsi="Times New Roman"/>
                <w:sz w:val="24"/>
                <w:szCs w:val="24"/>
                <w:lang w:val="ro-RO"/>
              </w:rPr>
              <w:t xml:space="preserve"> de Ministerul Sănătății</w:t>
            </w:r>
            <w:r w:rsidRPr="00A7595E">
              <w:rPr>
                <w:rFonts w:ascii="Times New Roman" w:hAnsi="Times New Roman"/>
                <w:sz w:val="24"/>
                <w:szCs w:val="24"/>
                <w:lang w:val="ro-RO"/>
              </w:rPr>
              <w:t xml:space="preserve">. </w:t>
            </w:r>
          </w:p>
        </w:tc>
      </w:tr>
    </w:tbl>
    <w:p w14:paraId="6DBA6EE2" w14:textId="3A87E3B5" w:rsidR="00B159B4" w:rsidRDefault="00B159B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6C31F91" w14:textId="77777777" w:rsidR="00E1322A" w:rsidRPr="0036045D" w:rsidRDefault="00E1322A">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fr-FR"/>
        </w:rPr>
      </w:pPr>
    </w:p>
    <w:p w14:paraId="2F03E8DA" w14:textId="5812AC20" w:rsidR="00CD2CA8" w:rsidRPr="00A7595E" w:rsidRDefault="000E1576">
      <w:pPr>
        <w:pBdr>
          <w:top w:val="none" w:sz="4" w:space="0" w:color="000000"/>
          <w:left w:val="none" w:sz="4" w:space="0" w:color="000000"/>
          <w:bottom w:val="none" w:sz="4" w:space="0" w:color="000000"/>
          <w:right w:val="none" w:sz="4" w:space="0" w:color="000000"/>
        </w:pBdr>
        <w:tabs>
          <w:tab w:val="left" w:pos="884"/>
          <w:tab w:val="left" w:pos="1196"/>
        </w:tabs>
        <w:rPr>
          <w:b/>
          <w:bCs/>
          <w:sz w:val="24"/>
          <w:szCs w:val="24"/>
          <w:lang w:val="ro-RO"/>
        </w:rPr>
      </w:pPr>
      <w:r w:rsidRPr="00A7595E">
        <w:rPr>
          <w:b/>
          <w:bCs/>
          <w:sz w:val="24"/>
          <w:szCs w:val="24"/>
          <w:lang w:val="ro-RO"/>
        </w:rPr>
        <w:t>Ministru                                                                             Ala NEMERENCO</w:t>
      </w:r>
    </w:p>
    <w:sectPr w:rsidR="00CD2CA8" w:rsidRPr="00A7595E" w:rsidSect="00CA1BE7">
      <w:headerReference w:type="default" r:id="rId12"/>
      <w:pgSz w:w="11907" w:h="16840" w:orient="landscape"/>
      <w:pgMar w:top="1702" w:right="850" w:bottom="1418" w:left="1985" w:header="709"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29E2C" w14:textId="77777777" w:rsidR="00DD3B21" w:rsidRDefault="00DD3B21">
      <w:r>
        <w:separator/>
      </w:r>
    </w:p>
  </w:endnote>
  <w:endnote w:type="continuationSeparator" w:id="0">
    <w:p w14:paraId="0FF695BB" w14:textId="77777777" w:rsidR="00DD3B21" w:rsidRDefault="00DD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1A619" w14:textId="77777777" w:rsidR="00DD3B21" w:rsidRDefault="00DD3B21">
      <w:r>
        <w:separator/>
      </w:r>
    </w:p>
  </w:footnote>
  <w:footnote w:type="continuationSeparator" w:id="0">
    <w:p w14:paraId="70DE3AB4" w14:textId="77777777" w:rsidR="00DD3B21" w:rsidRDefault="00DD3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F8AF" w14:textId="77777777" w:rsidR="00B159B4" w:rsidRDefault="00B159B4">
    <w:pPr>
      <w:pStyle w:val="Header"/>
      <w:ind w:firstLine="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558C"/>
    <w:multiLevelType w:val="multilevel"/>
    <w:tmpl w:val="4BC4FE30"/>
    <w:lvl w:ilvl="0">
      <w:start w:val="1"/>
      <w:numFmt w:val="bullet"/>
      <w:lvlText w:val=""/>
      <w:lvlJc w:val="left"/>
      <w:pPr>
        <w:tabs>
          <w:tab w:val="num" w:pos="-207"/>
        </w:tabs>
        <w:ind w:left="-207" w:hanging="360"/>
      </w:pPr>
      <w:rPr>
        <w:rFonts w:ascii="Symbol" w:hAnsi="Symbol" w:hint="default"/>
        <w:sz w:val="20"/>
      </w:rPr>
    </w:lvl>
    <w:lvl w:ilvl="1">
      <w:start w:val="1"/>
      <w:numFmt w:val="bullet"/>
      <w:lvlText w:val="o"/>
      <w:lvlJc w:val="left"/>
      <w:pPr>
        <w:tabs>
          <w:tab w:val="num" w:pos="513"/>
        </w:tabs>
        <w:ind w:left="513" w:hanging="360"/>
      </w:pPr>
      <w:rPr>
        <w:rFonts w:ascii="Courier New" w:hAnsi="Courier New" w:hint="default"/>
        <w:sz w:val="20"/>
      </w:rPr>
    </w:lvl>
    <w:lvl w:ilvl="2">
      <w:start w:val="1"/>
      <w:numFmt w:val="bullet"/>
      <w:lvlText w:val=""/>
      <w:lvlJc w:val="left"/>
      <w:pPr>
        <w:tabs>
          <w:tab w:val="num" w:pos="1233"/>
        </w:tabs>
        <w:ind w:left="1233" w:hanging="360"/>
      </w:pPr>
      <w:rPr>
        <w:rFonts w:ascii="Wingdings" w:hAnsi="Wingdings" w:hint="default"/>
        <w:sz w:val="20"/>
      </w:rPr>
    </w:lvl>
    <w:lvl w:ilvl="3">
      <w:start w:val="1"/>
      <w:numFmt w:val="bullet"/>
      <w:lvlText w:val=""/>
      <w:lvlJc w:val="left"/>
      <w:pPr>
        <w:tabs>
          <w:tab w:val="num" w:pos="1953"/>
        </w:tabs>
        <w:ind w:left="1953" w:hanging="360"/>
      </w:pPr>
      <w:rPr>
        <w:rFonts w:ascii="Wingdings" w:hAnsi="Wingdings" w:hint="default"/>
        <w:sz w:val="20"/>
      </w:rPr>
    </w:lvl>
    <w:lvl w:ilvl="4">
      <w:start w:val="1"/>
      <w:numFmt w:val="bullet"/>
      <w:lvlText w:val=""/>
      <w:lvlJc w:val="left"/>
      <w:pPr>
        <w:tabs>
          <w:tab w:val="num" w:pos="2673"/>
        </w:tabs>
        <w:ind w:left="2673" w:hanging="360"/>
      </w:pPr>
      <w:rPr>
        <w:rFonts w:ascii="Wingdings" w:hAnsi="Wingdings" w:hint="default"/>
        <w:sz w:val="20"/>
      </w:rPr>
    </w:lvl>
    <w:lvl w:ilvl="5">
      <w:start w:val="1"/>
      <w:numFmt w:val="bullet"/>
      <w:lvlText w:val=""/>
      <w:lvlJc w:val="left"/>
      <w:pPr>
        <w:tabs>
          <w:tab w:val="num" w:pos="3393"/>
        </w:tabs>
        <w:ind w:left="3393" w:hanging="360"/>
      </w:pPr>
      <w:rPr>
        <w:rFonts w:ascii="Wingdings" w:hAnsi="Wingdings" w:hint="default"/>
        <w:sz w:val="20"/>
      </w:rPr>
    </w:lvl>
    <w:lvl w:ilvl="6">
      <w:start w:val="1"/>
      <w:numFmt w:val="bullet"/>
      <w:lvlText w:val=""/>
      <w:lvlJc w:val="left"/>
      <w:pPr>
        <w:tabs>
          <w:tab w:val="num" w:pos="4113"/>
        </w:tabs>
        <w:ind w:left="4113" w:hanging="360"/>
      </w:pPr>
      <w:rPr>
        <w:rFonts w:ascii="Wingdings" w:hAnsi="Wingdings" w:hint="default"/>
        <w:sz w:val="20"/>
      </w:rPr>
    </w:lvl>
    <w:lvl w:ilvl="7">
      <w:start w:val="1"/>
      <w:numFmt w:val="bullet"/>
      <w:lvlText w:val=""/>
      <w:lvlJc w:val="left"/>
      <w:pPr>
        <w:tabs>
          <w:tab w:val="num" w:pos="4833"/>
        </w:tabs>
        <w:ind w:left="4833" w:hanging="360"/>
      </w:pPr>
      <w:rPr>
        <w:rFonts w:ascii="Wingdings" w:hAnsi="Wingdings" w:hint="default"/>
        <w:sz w:val="20"/>
      </w:rPr>
    </w:lvl>
    <w:lvl w:ilvl="8">
      <w:start w:val="1"/>
      <w:numFmt w:val="bullet"/>
      <w:lvlText w:val=""/>
      <w:lvlJc w:val="left"/>
      <w:pPr>
        <w:tabs>
          <w:tab w:val="num" w:pos="5553"/>
        </w:tabs>
        <w:ind w:left="5553" w:hanging="360"/>
      </w:pPr>
      <w:rPr>
        <w:rFonts w:ascii="Wingdings" w:hAnsi="Wingdings" w:hint="default"/>
        <w:sz w:val="20"/>
      </w:rPr>
    </w:lvl>
  </w:abstractNum>
  <w:abstractNum w:abstractNumId="1" w15:restartNumberingAfterBreak="0">
    <w:nsid w:val="06A87DD3"/>
    <w:multiLevelType w:val="multilevel"/>
    <w:tmpl w:val="A81CEA9A"/>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A94132D"/>
    <w:multiLevelType w:val="multilevel"/>
    <w:tmpl w:val="AFAC086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45403"/>
    <w:multiLevelType w:val="multilevel"/>
    <w:tmpl w:val="9B547854"/>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273FD8"/>
    <w:multiLevelType w:val="multilevel"/>
    <w:tmpl w:val="FB92D2C2"/>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442182"/>
    <w:multiLevelType w:val="multilevel"/>
    <w:tmpl w:val="775469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4A3A69"/>
    <w:multiLevelType w:val="hybridMultilevel"/>
    <w:tmpl w:val="001469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8578EA"/>
    <w:multiLevelType w:val="multilevel"/>
    <w:tmpl w:val="E0689D7C"/>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1ACD5500"/>
    <w:multiLevelType w:val="multilevel"/>
    <w:tmpl w:val="54D27FC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2F5B5A"/>
    <w:multiLevelType w:val="multilevel"/>
    <w:tmpl w:val="AADAF6A8"/>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1D631CA7"/>
    <w:multiLevelType w:val="multilevel"/>
    <w:tmpl w:val="D1D43D90"/>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002CA4"/>
    <w:multiLevelType w:val="multilevel"/>
    <w:tmpl w:val="9F3072E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1534CD"/>
    <w:multiLevelType w:val="multilevel"/>
    <w:tmpl w:val="B5C83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3D7799"/>
    <w:multiLevelType w:val="multilevel"/>
    <w:tmpl w:val="065A2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B3E88"/>
    <w:multiLevelType w:val="multilevel"/>
    <w:tmpl w:val="6A2A6DA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5E3B4B"/>
    <w:multiLevelType w:val="multilevel"/>
    <w:tmpl w:val="DC1835D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8A18DE"/>
    <w:multiLevelType w:val="multilevel"/>
    <w:tmpl w:val="4BF2E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65AF4"/>
    <w:multiLevelType w:val="multilevel"/>
    <w:tmpl w:val="09AA30A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D0094E"/>
    <w:multiLevelType w:val="multilevel"/>
    <w:tmpl w:val="4252A49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0D92AD0"/>
    <w:multiLevelType w:val="multilevel"/>
    <w:tmpl w:val="5B148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F321E4"/>
    <w:multiLevelType w:val="multilevel"/>
    <w:tmpl w:val="B1B860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3704F7"/>
    <w:multiLevelType w:val="multilevel"/>
    <w:tmpl w:val="634CE24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767883"/>
    <w:multiLevelType w:val="hybridMultilevel"/>
    <w:tmpl w:val="F54641A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6F34EE1"/>
    <w:multiLevelType w:val="multilevel"/>
    <w:tmpl w:val="9868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A2A77"/>
    <w:multiLevelType w:val="multilevel"/>
    <w:tmpl w:val="BAE437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2F032A"/>
    <w:multiLevelType w:val="hybridMultilevel"/>
    <w:tmpl w:val="14E60BB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5AA4877"/>
    <w:multiLevelType w:val="multilevel"/>
    <w:tmpl w:val="94564D9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5E0A15"/>
    <w:multiLevelType w:val="multilevel"/>
    <w:tmpl w:val="FD22846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4CEF338B"/>
    <w:multiLevelType w:val="multilevel"/>
    <w:tmpl w:val="3530B8F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A4629D"/>
    <w:multiLevelType w:val="multilevel"/>
    <w:tmpl w:val="CF5455C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4C2558"/>
    <w:multiLevelType w:val="multilevel"/>
    <w:tmpl w:val="97D0A62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1" w15:restartNumberingAfterBreak="0">
    <w:nsid w:val="5B6A3C41"/>
    <w:multiLevelType w:val="multilevel"/>
    <w:tmpl w:val="8864D722"/>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5E4371C7"/>
    <w:multiLevelType w:val="multilevel"/>
    <w:tmpl w:val="84F2B20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8061C1"/>
    <w:multiLevelType w:val="hybridMultilevel"/>
    <w:tmpl w:val="A97ECEA8"/>
    <w:lvl w:ilvl="0" w:tplc="319C8E3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4F4399D"/>
    <w:multiLevelType w:val="multilevel"/>
    <w:tmpl w:val="F5E856B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9E79B6"/>
    <w:multiLevelType w:val="multilevel"/>
    <w:tmpl w:val="165C1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BE5ED0"/>
    <w:multiLevelType w:val="multilevel"/>
    <w:tmpl w:val="14021690"/>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9885E18"/>
    <w:multiLevelType w:val="multilevel"/>
    <w:tmpl w:val="F5CAD292"/>
    <w:lvl w:ilvl="0">
      <w:start w:val="1"/>
      <w:numFmt w:val="bullet"/>
      <w:lvlText w:val="-"/>
      <w:lvlJc w:val="left"/>
      <w:pPr>
        <w:tabs>
          <w:tab w:val="num" w:pos="720"/>
        </w:tabs>
        <w:ind w:left="720" w:hanging="360"/>
      </w:pPr>
      <w:rPr>
        <w:rFonts w:ascii="Times New Roman" w:eastAsia="Times New Roman" w:hAnsi="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182EF0"/>
    <w:multiLevelType w:val="multilevel"/>
    <w:tmpl w:val="B8E0133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BE44F2"/>
    <w:multiLevelType w:val="multilevel"/>
    <w:tmpl w:val="68E81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10A9D"/>
    <w:multiLevelType w:val="multilevel"/>
    <w:tmpl w:val="ABF0A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B255A"/>
    <w:multiLevelType w:val="multilevel"/>
    <w:tmpl w:val="5DFE3B4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794AF7"/>
    <w:multiLevelType w:val="multilevel"/>
    <w:tmpl w:val="3C84F6B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CA6469"/>
    <w:multiLevelType w:val="multilevel"/>
    <w:tmpl w:val="D9505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B878AB"/>
    <w:multiLevelType w:val="hybridMultilevel"/>
    <w:tmpl w:val="391090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76417DBA"/>
    <w:multiLevelType w:val="multilevel"/>
    <w:tmpl w:val="292C0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0A5266"/>
    <w:multiLevelType w:val="hybridMultilevel"/>
    <w:tmpl w:val="BEBA84FE"/>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47" w15:restartNumberingAfterBreak="0">
    <w:nsid w:val="79CD0094"/>
    <w:multiLevelType w:val="hybridMultilevel"/>
    <w:tmpl w:val="C27C906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8" w15:restartNumberingAfterBreak="0">
    <w:nsid w:val="7C273A48"/>
    <w:multiLevelType w:val="multilevel"/>
    <w:tmpl w:val="3CFE6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60B19"/>
    <w:multiLevelType w:val="multilevel"/>
    <w:tmpl w:val="C0C4A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BB3CED"/>
    <w:multiLevelType w:val="multilevel"/>
    <w:tmpl w:val="0532A9F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7E0F5824"/>
    <w:multiLevelType w:val="hybridMultilevel"/>
    <w:tmpl w:val="B48CD5A0"/>
    <w:lvl w:ilvl="0" w:tplc="DCC63F3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797577">
    <w:abstractNumId w:val="11"/>
  </w:num>
  <w:num w:numId="2" w16cid:durableId="1428959129">
    <w:abstractNumId w:val="15"/>
  </w:num>
  <w:num w:numId="3" w16cid:durableId="706179076">
    <w:abstractNumId w:val="5"/>
  </w:num>
  <w:num w:numId="4" w16cid:durableId="1133597081">
    <w:abstractNumId w:val="19"/>
  </w:num>
  <w:num w:numId="5" w16cid:durableId="1229223673">
    <w:abstractNumId w:val="3"/>
  </w:num>
  <w:num w:numId="6" w16cid:durableId="1840658087">
    <w:abstractNumId w:val="43"/>
  </w:num>
  <w:num w:numId="7" w16cid:durableId="195193766">
    <w:abstractNumId w:val="12"/>
  </w:num>
  <w:num w:numId="8" w16cid:durableId="1238056359">
    <w:abstractNumId w:val="45"/>
  </w:num>
  <w:num w:numId="9" w16cid:durableId="373695700">
    <w:abstractNumId w:val="8"/>
  </w:num>
  <w:num w:numId="10" w16cid:durableId="101922405">
    <w:abstractNumId w:val="18"/>
  </w:num>
  <w:num w:numId="11" w16cid:durableId="1710957074">
    <w:abstractNumId w:val="30"/>
  </w:num>
  <w:num w:numId="12" w16cid:durableId="538392457">
    <w:abstractNumId w:val="10"/>
  </w:num>
  <w:num w:numId="13" w16cid:durableId="1714767055">
    <w:abstractNumId w:val="41"/>
  </w:num>
  <w:num w:numId="14" w16cid:durableId="1381632138">
    <w:abstractNumId w:val="24"/>
  </w:num>
  <w:num w:numId="15" w16cid:durableId="1709721861">
    <w:abstractNumId w:val="1"/>
  </w:num>
  <w:num w:numId="16" w16cid:durableId="1244145291">
    <w:abstractNumId w:val="26"/>
  </w:num>
  <w:num w:numId="17" w16cid:durableId="723137436">
    <w:abstractNumId w:val="14"/>
  </w:num>
  <w:num w:numId="18" w16cid:durableId="1348751960">
    <w:abstractNumId w:val="17"/>
  </w:num>
  <w:num w:numId="19" w16cid:durableId="76096448">
    <w:abstractNumId w:val="50"/>
  </w:num>
  <w:num w:numId="20" w16cid:durableId="116220225">
    <w:abstractNumId w:val="29"/>
  </w:num>
  <w:num w:numId="21" w16cid:durableId="753745998">
    <w:abstractNumId w:val="4"/>
  </w:num>
  <w:num w:numId="22" w16cid:durableId="2042515931">
    <w:abstractNumId w:val="20"/>
  </w:num>
  <w:num w:numId="23" w16cid:durableId="2015646575">
    <w:abstractNumId w:val="0"/>
  </w:num>
  <w:num w:numId="24" w16cid:durableId="1606645890">
    <w:abstractNumId w:val="39"/>
  </w:num>
  <w:num w:numId="25" w16cid:durableId="1013148147">
    <w:abstractNumId w:val="48"/>
  </w:num>
  <w:num w:numId="26" w16cid:durableId="1763183265">
    <w:abstractNumId w:val="49"/>
  </w:num>
  <w:num w:numId="27" w16cid:durableId="1019543759">
    <w:abstractNumId w:val="21"/>
  </w:num>
  <w:num w:numId="28" w16cid:durableId="1095981906">
    <w:abstractNumId w:val="34"/>
    <w:lvlOverride w:ilvl="0">
      <w:startOverride w:val="1"/>
    </w:lvlOverride>
  </w:num>
  <w:num w:numId="29" w16cid:durableId="1061948444">
    <w:abstractNumId w:val="38"/>
  </w:num>
  <w:num w:numId="30" w16cid:durableId="704908738">
    <w:abstractNumId w:val="32"/>
  </w:num>
  <w:num w:numId="31" w16cid:durableId="402947894">
    <w:abstractNumId w:val="2"/>
  </w:num>
  <w:num w:numId="32" w16cid:durableId="935019612">
    <w:abstractNumId w:val="34"/>
  </w:num>
  <w:num w:numId="33" w16cid:durableId="1836647319">
    <w:abstractNumId w:val="13"/>
  </w:num>
  <w:num w:numId="34" w16cid:durableId="1608272284">
    <w:abstractNumId w:val="16"/>
  </w:num>
  <w:num w:numId="35" w16cid:durableId="49812511">
    <w:abstractNumId w:val="40"/>
  </w:num>
  <w:num w:numId="36" w16cid:durableId="2012416233">
    <w:abstractNumId w:val="23"/>
  </w:num>
  <w:num w:numId="37" w16cid:durableId="26880073">
    <w:abstractNumId w:val="42"/>
  </w:num>
  <w:num w:numId="38" w16cid:durableId="397484770">
    <w:abstractNumId w:val="28"/>
  </w:num>
  <w:num w:numId="39" w16cid:durableId="536938705">
    <w:abstractNumId w:val="31"/>
  </w:num>
  <w:num w:numId="40" w16cid:durableId="1505239127">
    <w:abstractNumId w:val="9"/>
  </w:num>
  <w:num w:numId="41" w16cid:durableId="1979143995">
    <w:abstractNumId w:val="7"/>
  </w:num>
  <w:num w:numId="42" w16cid:durableId="2111047189">
    <w:abstractNumId w:val="27"/>
  </w:num>
  <w:num w:numId="43" w16cid:durableId="991300155">
    <w:abstractNumId w:val="36"/>
  </w:num>
  <w:num w:numId="44" w16cid:durableId="741634079">
    <w:abstractNumId w:val="33"/>
  </w:num>
  <w:num w:numId="45" w16cid:durableId="2095785417">
    <w:abstractNumId w:val="25"/>
  </w:num>
  <w:num w:numId="46" w16cid:durableId="616373961">
    <w:abstractNumId w:val="22"/>
  </w:num>
  <w:num w:numId="47" w16cid:durableId="623778470">
    <w:abstractNumId w:val="46"/>
  </w:num>
  <w:num w:numId="48" w16cid:durableId="1000500600">
    <w:abstractNumId w:val="51"/>
  </w:num>
  <w:num w:numId="49" w16cid:durableId="799155593">
    <w:abstractNumId w:val="37"/>
  </w:num>
  <w:num w:numId="50" w16cid:durableId="2145612176">
    <w:abstractNumId w:val="47"/>
  </w:num>
  <w:num w:numId="51" w16cid:durableId="119308055">
    <w:abstractNumId w:val="44"/>
  </w:num>
  <w:num w:numId="52" w16cid:durableId="2018532401">
    <w:abstractNumId w:val="6"/>
  </w:num>
  <w:num w:numId="53" w16cid:durableId="16024936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4"/>
    <w:rsid w:val="000E1576"/>
    <w:rsid w:val="000F62E8"/>
    <w:rsid w:val="00105465"/>
    <w:rsid w:val="0011263F"/>
    <w:rsid w:val="00121568"/>
    <w:rsid w:val="00121570"/>
    <w:rsid w:val="0014725B"/>
    <w:rsid w:val="00172AE8"/>
    <w:rsid w:val="00187CEB"/>
    <w:rsid w:val="00195E6A"/>
    <w:rsid w:val="001A71E3"/>
    <w:rsid w:val="001B0744"/>
    <w:rsid w:val="001E0695"/>
    <w:rsid w:val="001E451A"/>
    <w:rsid w:val="00224805"/>
    <w:rsid w:val="00246D59"/>
    <w:rsid w:val="00251CF0"/>
    <w:rsid w:val="0027343E"/>
    <w:rsid w:val="002D0002"/>
    <w:rsid w:val="002E6323"/>
    <w:rsid w:val="0030088B"/>
    <w:rsid w:val="003106DC"/>
    <w:rsid w:val="0035322F"/>
    <w:rsid w:val="0036045D"/>
    <w:rsid w:val="003658D6"/>
    <w:rsid w:val="00383BF4"/>
    <w:rsid w:val="003B387E"/>
    <w:rsid w:val="004C3717"/>
    <w:rsid w:val="004C5411"/>
    <w:rsid w:val="0052411C"/>
    <w:rsid w:val="0059185E"/>
    <w:rsid w:val="005A4E4F"/>
    <w:rsid w:val="005F3F61"/>
    <w:rsid w:val="00602ACF"/>
    <w:rsid w:val="006158C2"/>
    <w:rsid w:val="00620F05"/>
    <w:rsid w:val="00624F18"/>
    <w:rsid w:val="00626FFE"/>
    <w:rsid w:val="00656223"/>
    <w:rsid w:val="006D78C0"/>
    <w:rsid w:val="006E2872"/>
    <w:rsid w:val="006E2B52"/>
    <w:rsid w:val="006F14A0"/>
    <w:rsid w:val="007143B2"/>
    <w:rsid w:val="00756325"/>
    <w:rsid w:val="00793331"/>
    <w:rsid w:val="007C6D3A"/>
    <w:rsid w:val="008036DB"/>
    <w:rsid w:val="008936E0"/>
    <w:rsid w:val="008B34FE"/>
    <w:rsid w:val="008F4157"/>
    <w:rsid w:val="00944AFE"/>
    <w:rsid w:val="009C3839"/>
    <w:rsid w:val="009E0964"/>
    <w:rsid w:val="00A7595E"/>
    <w:rsid w:val="00A94B51"/>
    <w:rsid w:val="00AD2AE0"/>
    <w:rsid w:val="00AD71DB"/>
    <w:rsid w:val="00AF4C57"/>
    <w:rsid w:val="00B159B4"/>
    <w:rsid w:val="00B5537C"/>
    <w:rsid w:val="00B821D1"/>
    <w:rsid w:val="00B867EB"/>
    <w:rsid w:val="00B92AC3"/>
    <w:rsid w:val="00BC36DE"/>
    <w:rsid w:val="00C56F93"/>
    <w:rsid w:val="00CA124C"/>
    <w:rsid w:val="00CA1BE7"/>
    <w:rsid w:val="00CD1D2B"/>
    <w:rsid w:val="00CD2CA8"/>
    <w:rsid w:val="00CD5468"/>
    <w:rsid w:val="00CF35A2"/>
    <w:rsid w:val="00D07AA6"/>
    <w:rsid w:val="00D30F9C"/>
    <w:rsid w:val="00D7124E"/>
    <w:rsid w:val="00D82AB4"/>
    <w:rsid w:val="00DD3B21"/>
    <w:rsid w:val="00DD4905"/>
    <w:rsid w:val="00E10A44"/>
    <w:rsid w:val="00E1322A"/>
    <w:rsid w:val="00E80037"/>
    <w:rsid w:val="00F317BF"/>
    <w:rsid w:val="00F62BB6"/>
    <w:rsid w:val="00F72370"/>
    <w:rsid w:val="00FB5DA1"/>
    <w:rsid w:val="00FE0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B916"/>
  <w15:docId w15:val="{A0ECD5E9-5723-49AC-AC60-22FACB95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rmalWebChar">
    <w:name w:val="Normal (Web) Char"/>
    <w:aliases w:val="Знак Char"/>
    <w:link w:val="NormalWeb"/>
    <w:uiPriority w:val="99"/>
    <w:locked/>
    <w:rsid w:val="00B867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1462">
      <w:bodyDiv w:val="1"/>
      <w:marLeft w:val="0"/>
      <w:marRight w:val="0"/>
      <w:marTop w:val="0"/>
      <w:marBottom w:val="0"/>
      <w:divBdr>
        <w:top w:val="none" w:sz="0" w:space="0" w:color="auto"/>
        <w:left w:val="none" w:sz="0" w:space="0" w:color="auto"/>
        <w:bottom w:val="none" w:sz="0" w:space="0" w:color="auto"/>
        <w:right w:val="none" w:sz="0" w:space="0" w:color="auto"/>
      </w:divBdr>
    </w:div>
    <w:div w:id="143741865">
      <w:bodyDiv w:val="1"/>
      <w:marLeft w:val="0"/>
      <w:marRight w:val="0"/>
      <w:marTop w:val="0"/>
      <w:marBottom w:val="0"/>
      <w:divBdr>
        <w:top w:val="none" w:sz="0" w:space="0" w:color="auto"/>
        <w:left w:val="none" w:sz="0" w:space="0" w:color="auto"/>
        <w:bottom w:val="none" w:sz="0" w:space="0" w:color="auto"/>
        <w:right w:val="none" w:sz="0" w:space="0" w:color="auto"/>
      </w:divBdr>
    </w:div>
    <w:div w:id="223033642">
      <w:bodyDiv w:val="1"/>
      <w:marLeft w:val="0"/>
      <w:marRight w:val="0"/>
      <w:marTop w:val="0"/>
      <w:marBottom w:val="0"/>
      <w:divBdr>
        <w:top w:val="none" w:sz="0" w:space="0" w:color="auto"/>
        <w:left w:val="none" w:sz="0" w:space="0" w:color="auto"/>
        <w:bottom w:val="none" w:sz="0" w:space="0" w:color="auto"/>
        <w:right w:val="none" w:sz="0" w:space="0" w:color="auto"/>
      </w:divBdr>
    </w:div>
    <w:div w:id="268051756">
      <w:bodyDiv w:val="1"/>
      <w:marLeft w:val="0"/>
      <w:marRight w:val="0"/>
      <w:marTop w:val="0"/>
      <w:marBottom w:val="0"/>
      <w:divBdr>
        <w:top w:val="none" w:sz="0" w:space="0" w:color="auto"/>
        <w:left w:val="none" w:sz="0" w:space="0" w:color="auto"/>
        <w:bottom w:val="none" w:sz="0" w:space="0" w:color="auto"/>
        <w:right w:val="none" w:sz="0" w:space="0" w:color="auto"/>
      </w:divBdr>
    </w:div>
    <w:div w:id="546799269">
      <w:bodyDiv w:val="1"/>
      <w:marLeft w:val="0"/>
      <w:marRight w:val="0"/>
      <w:marTop w:val="0"/>
      <w:marBottom w:val="0"/>
      <w:divBdr>
        <w:top w:val="none" w:sz="0" w:space="0" w:color="auto"/>
        <w:left w:val="none" w:sz="0" w:space="0" w:color="auto"/>
        <w:bottom w:val="none" w:sz="0" w:space="0" w:color="auto"/>
        <w:right w:val="none" w:sz="0" w:space="0" w:color="auto"/>
      </w:divBdr>
    </w:div>
    <w:div w:id="609900157">
      <w:bodyDiv w:val="1"/>
      <w:marLeft w:val="0"/>
      <w:marRight w:val="0"/>
      <w:marTop w:val="0"/>
      <w:marBottom w:val="0"/>
      <w:divBdr>
        <w:top w:val="none" w:sz="0" w:space="0" w:color="auto"/>
        <w:left w:val="none" w:sz="0" w:space="0" w:color="auto"/>
        <w:bottom w:val="none" w:sz="0" w:space="0" w:color="auto"/>
        <w:right w:val="none" w:sz="0" w:space="0" w:color="auto"/>
      </w:divBdr>
    </w:div>
    <w:div w:id="808786038">
      <w:bodyDiv w:val="1"/>
      <w:marLeft w:val="0"/>
      <w:marRight w:val="0"/>
      <w:marTop w:val="0"/>
      <w:marBottom w:val="0"/>
      <w:divBdr>
        <w:top w:val="none" w:sz="0" w:space="0" w:color="auto"/>
        <w:left w:val="none" w:sz="0" w:space="0" w:color="auto"/>
        <w:bottom w:val="none" w:sz="0" w:space="0" w:color="auto"/>
        <w:right w:val="none" w:sz="0" w:space="0" w:color="auto"/>
      </w:divBdr>
    </w:div>
    <w:div w:id="1080568123">
      <w:bodyDiv w:val="1"/>
      <w:marLeft w:val="0"/>
      <w:marRight w:val="0"/>
      <w:marTop w:val="0"/>
      <w:marBottom w:val="0"/>
      <w:divBdr>
        <w:top w:val="none" w:sz="0" w:space="0" w:color="auto"/>
        <w:left w:val="none" w:sz="0" w:space="0" w:color="auto"/>
        <w:bottom w:val="none" w:sz="0" w:space="0" w:color="auto"/>
        <w:right w:val="none" w:sz="0" w:space="0" w:color="auto"/>
      </w:divBdr>
    </w:div>
    <w:div w:id="1186794522">
      <w:bodyDiv w:val="1"/>
      <w:marLeft w:val="0"/>
      <w:marRight w:val="0"/>
      <w:marTop w:val="0"/>
      <w:marBottom w:val="0"/>
      <w:divBdr>
        <w:top w:val="none" w:sz="0" w:space="0" w:color="auto"/>
        <w:left w:val="none" w:sz="0" w:space="0" w:color="auto"/>
        <w:bottom w:val="none" w:sz="0" w:space="0" w:color="auto"/>
        <w:right w:val="none" w:sz="0" w:space="0" w:color="auto"/>
      </w:divBdr>
    </w:div>
    <w:div w:id="1278177909">
      <w:bodyDiv w:val="1"/>
      <w:marLeft w:val="0"/>
      <w:marRight w:val="0"/>
      <w:marTop w:val="0"/>
      <w:marBottom w:val="0"/>
      <w:divBdr>
        <w:top w:val="none" w:sz="0" w:space="0" w:color="auto"/>
        <w:left w:val="none" w:sz="0" w:space="0" w:color="auto"/>
        <w:bottom w:val="none" w:sz="0" w:space="0" w:color="auto"/>
        <w:right w:val="none" w:sz="0" w:space="0" w:color="auto"/>
      </w:divBdr>
    </w:div>
    <w:div w:id="1333794102">
      <w:bodyDiv w:val="1"/>
      <w:marLeft w:val="0"/>
      <w:marRight w:val="0"/>
      <w:marTop w:val="0"/>
      <w:marBottom w:val="0"/>
      <w:divBdr>
        <w:top w:val="none" w:sz="0" w:space="0" w:color="auto"/>
        <w:left w:val="none" w:sz="0" w:space="0" w:color="auto"/>
        <w:bottom w:val="none" w:sz="0" w:space="0" w:color="auto"/>
        <w:right w:val="none" w:sz="0" w:space="0" w:color="auto"/>
      </w:divBdr>
    </w:div>
    <w:div w:id="1531650858">
      <w:bodyDiv w:val="1"/>
      <w:marLeft w:val="0"/>
      <w:marRight w:val="0"/>
      <w:marTop w:val="0"/>
      <w:marBottom w:val="0"/>
      <w:divBdr>
        <w:top w:val="none" w:sz="0" w:space="0" w:color="auto"/>
        <w:left w:val="none" w:sz="0" w:space="0" w:color="auto"/>
        <w:bottom w:val="none" w:sz="0" w:space="0" w:color="auto"/>
        <w:right w:val="none" w:sz="0" w:space="0" w:color="auto"/>
      </w:divBdr>
    </w:div>
    <w:div w:id="1563759349">
      <w:bodyDiv w:val="1"/>
      <w:marLeft w:val="0"/>
      <w:marRight w:val="0"/>
      <w:marTop w:val="0"/>
      <w:marBottom w:val="0"/>
      <w:divBdr>
        <w:top w:val="none" w:sz="0" w:space="0" w:color="auto"/>
        <w:left w:val="none" w:sz="0" w:space="0" w:color="auto"/>
        <w:bottom w:val="none" w:sz="0" w:space="0" w:color="auto"/>
        <w:right w:val="none" w:sz="0" w:space="0" w:color="auto"/>
      </w:divBdr>
    </w:div>
    <w:div w:id="1602954314">
      <w:bodyDiv w:val="1"/>
      <w:marLeft w:val="0"/>
      <w:marRight w:val="0"/>
      <w:marTop w:val="0"/>
      <w:marBottom w:val="0"/>
      <w:divBdr>
        <w:top w:val="none" w:sz="0" w:space="0" w:color="auto"/>
        <w:left w:val="none" w:sz="0" w:space="0" w:color="auto"/>
        <w:bottom w:val="none" w:sz="0" w:space="0" w:color="auto"/>
        <w:right w:val="none" w:sz="0" w:space="0" w:color="auto"/>
      </w:divBdr>
    </w:div>
    <w:div w:id="1798983776">
      <w:bodyDiv w:val="1"/>
      <w:marLeft w:val="0"/>
      <w:marRight w:val="0"/>
      <w:marTop w:val="0"/>
      <w:marBottom w:val="0"/>
      <w:divBdr>
        <w:top w:val="none" w:sz="0" w:space="0" w:color="auto"/>
        <w:left w:val="none" w:sz="0" w:space="0" w:color="auto"/>
        <w:bottom w:val="none" w:sz="0" w:space="0" w:color="auto"/>
        <w:right w:val="none" w:sz="0" w:space="0" w:color="auto"/>
      </w:divBdr>
    </w:div>
    <w:div w:id="19569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242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7611</Words>
  <Characters>43388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Mariana GÎNCU</cp:lastModifiedBy>
  <cp:revision>2</cp:revision>
  <cp:lastPrinted>2024-07-24T08:49:00Z</cp:lastPrinted>
  <dcterms:created xsi:type="dcterms:W3CDTF">2024-08-08T09:14:00Z</dcterms:created>
  <dcterms:modified xsi:type="dcterms:W3CDTF">2024-08-08T09:14:00Z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