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E5" w:rsidRPr="00D25649" w:rsidRDefault="00021AE5" w:rsidP="00021AE5">
      <w:pPr>
        <w:widowControl/>
        <w:autoSpaceDE/>
        <w:autoSpaceDN/>
        <w:jc w:val="center"/>
        <w:rPr>
          <w:rFonts w:eastAsia="Georgia"/>
          <w:b/>
          <w:sz w:val="28"/>
          <w:szCs w:val="28"/>
          <w:lang w:val="ro"/>
        </w:rPr>
      </w:pPr>
      <w:r w:rsidRPr="00D25649">
        <w:rPr>
          <w:rFonts w:eastAsia="Georgia"/>
          <w:b/>
          <w:sz w:val="28"/>
          <w:szCs w:val="28"/>
          <w:lang w:val="ro"/>
        </w:rPr>
        <w:t>N</w:t>
      </w:r>
      <w:r>
        <w:rPr>
          <w:rFonts w:eastAsia="Georgia"/>
          <w:b/>
          <w:sz w:val="28"/>
          <w:szCs w:val="28"/>
          <w:lang w:val="ro"/>
        </w:rPr>
        <w:t>OTA</w:t>
      </w:r>
      <w:r w:rsidRPr="00D25649">
        <w:rPr>
          <w:rFonts w:eastAsia="Georgia"/>
          <w:b/>
          <w:sz w:val="28"/>
          <w:szCs w:val="28"/>
          <w:lang w:val="ro"/>
        </w:rPr>
        <w:t xml:space="preserve"> INFORMATIVĂ</w:t>
      </w:r>
      <w:bookmarkStart w:id="0" w:name="_GoBack"/>
      <w:bookmarkEnd w:id="0"/>
    </w:p>
    <w:p w:rsidR="00021AE5" w:rsidRPr="00271AB3" w:rsidRDefault="00021AE5" w:rsidP="00021AE5">
      <w:pPr>
        <w:widowControl/>
        <w:autoSpaceDE/>
        <w:autoSpaceDN/>
        <w:jc w:val="center"/>
        <w:rPr>
          <w:rFonts w:eastAsia="Georgia"/>
          <w:b/>
          <w:sz w:val="26"/>
          <w:szCs w:val="26"/>
          <w:lang w:val="ro"/>
        </w:rPr>
      </w:pPr>
      <w:r>
        <w:rPr>
          <w:b/>
          <w:sz w:val="26"/>
          <w:szCs w:val="26"/>
          <w:lang w:val="ro"/>
        </w:rPr>
        <w:t>la proiectul de l</w:t>
      </w:r>
      <w:r w:rsidRPr="00271AB3">
        <w:rPr>
          <w:b/>
          <w:sz w:val="26"/>
          <w:szCs w:val="26"/>
          <w:lang w:val="ro"/>
        </w:rPr>
        <w:t>ege cu privire la modificarea Legii nr. 160/2016 pentru modificarea și</w:t>
      </w:r>
      <w:r>
        <w:rPr>
          <w:b/>
          <w:sz w:val="26"/>
          <w:szCs w:val="26"/>
          <w:lang w:val="ro"/>
        </w:rPr>
        <w:t xml:space="preserve"> completarea unor acte legislative</w:t>
      </w:r>
    </w:p>
    <w:p w:rsidR="00021AE5" w:rsidRPr="00271AB3" w:rsidRDefault="00021AE5" w:rsidP="00021AE5">
      <w:pPr>
        <w:widowControl/>
        <w:autoSpaceDE/>
        <w:autoSpaceDN/>
        <w:jc w:val="center"/>
        <w:rPr>
          <w:rFonts w:eastAsia="Georgia"/>
          <w:b/>
          <w:sz w:val="26"/>
          <w:szCs w:val="26"/>
          <w:lang w:val="ro"/>
        </w:rPr>
      </w:pPr>
    </w:p>
    <w:tbl>
      <w:tblPr>
        <w:tblW w:w="9781" w:type="dxa"/>
        <w:tblInd w:w="16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781"/>
      </w:tblGrid>
      <w:tr w:rsidR="00021AE5" w:rsidRPr="00271AB3" w:rsidTr="00510DBE">
        <w:tc>
          <w:tcPr>
            <w:tcW w:w="9781" w:type="dxa"/>
            <w:shd w:val="clear" w:color="auto" w:fill="ACB9CA"/>
          </w:tcPr>
          <w:p w:rsidR="00021AE5" w:rsidRPr="00271AB3" w:rsidRDefault="00021AE5" w:rsidP="00510DBE">
            <w:pPr>
              <w:widowControl/>
              <w:autoSpaceDE/>
              <w:autoSpaceDN/>
              <w:spacing w:before="120" w:after="120"/>
              <w:jc w:val="both"/>
              <w:rPr>
                <w:rFonts w:eastAsia="Georgia"/>
                <w:b/>
                <w:i/>
                <w:sz w:val="26"/>
                <w:szCs w:val="26"/>
                <w:lang w:val="ro"/>
              </w:rPr>
            </w:pPr>
            <w:r w:rsidRPr="00271AB3">
              <w:rPr>
                <w:rFonts w:eastAsia="Georgia"/>
                <w:b/>
                <w:sz w:val="26"/>
                <w:szCs w:val="26"/>
                <w:lang w:val="ro"/>
              </w:rPr>
              <w:t>I. Denumirea autorului şi, după caz, a participanților la elaborarea proiectului</w:t>
            </w:r>
          </w:p>
        </w:tc>
      </w:tr>
      <w:tr w:rsidR="00021AE5" w:rsidRPr="00271AB3" w:rsidTr="00510DBE">
        <w:tc>
          <w:tcPr>
            <w:tcW w:w="9781" w:type="dxa"/>
            <w:shd w:val="clear" w:color="auto" w:fill="auto"/>
          </w:tcPr>
          <w:p w:rsidR="00021AE5" w:rsidRPr="00271AB3" w:rsidRDefault="00021AE5" w:rsidP="00510DBE">
            <w:pPr>
              <w:widowControl/>
              <w:autoSpaceDE/>
              <w:autoSpaceDN/>
              <w:jc w:val="both"/>
              <w:rPr>
                <w:rFonts w:eastAsia="Georgia"/>
                <w:sz w:val="26"/>
                <w:szCs w:val="26"/>
                <w:highlight w:val="white"/>
                <w:lang w:val="ro"/>
              </w:rPr>
            </w:pPr>
            <w:bookmarkStart w:id="1" w:name="_gjdgxs" w:colFirst="0" w:colLast="0"/>
            <w:bookmarkEnd w:id="1"/>
            <w:r w:rsidRPr="00271AB3">
              <w:rPr>
                <w:rFonts w:eastAsia="Georgia"/>
                <w:sz w:val="26"/>
                <w:szCs w:val="26"/>
                <w:highlight w:val="white"/>
                <w:lang w:val="ro"/>
              </w:rPr>
              <w:t xml:space="preserve">Proiectul </w:t>
            </w:r>
            <w:r>
              <w:rPr>
                <w:sz w:val="26"/>
                <w:szCs w:val="26"/>
                <w:lang w:val="ro"/>
              </w:rPr>
              <w:t>de l</w:t>
            </w:r>
            <w:r w:rsidRPr="00271AB3">
              <w:rPr>
                <w:sz w:val="26"/>
                <w:szCs w:val="26"/>
                <w:lang w:val="ro"/>
              </w:rPr>
              <w:t>ege cu privire la modificarea Legii nr. 160/2016 pentru modificarea și</w:t>
            </w:r>
            <w:r>
              <w:rPr>
                <w:sz w:val="26"/>
                <w:szCs w:val="26"/>
                <w:lang w:val="ro"/>
              </w:rPr>
              <w:t xml:space="preserve"> completarea unor acte legislative</w:t>
            </w:r>
            <w:r w:rsidRPr="00271AB3">
              <w:rPr>
                <w:rFonts w:eastAsia="Georgia"/>
                <w:sz w:val="26"/>
                <w:szCs w:val="26"/>
                <w:highlight w:val="white"/>
                <w:lang w:val="ro"/>
              </w:rPr>
              <w:t xml:space="preserve"> este elaborat de către Ministerul Dezvoltării Economice și Digitalizării.</w:t>
            </w:r>
          </w:p>
        </w:tc>
      </w:tr>
      <w:tr w:rsidR="00021AE5" w:rsidRPr="00271AB3" w:rsidTr="00510DBE">
        <w:trPr>
          <w:trHeight w:val="609"/>
        </w:trPr>
        <w:tc>
          <w:tcPr>
            <w:tcW w:w="9781" w:type="dxa"/>
            <w:shd w:val="clear" w:color="auto" w:fill="ACB9CA"/>
          </w:tcPr>
          <w:p w:rsidR="00021AE5" w:rsidRPr="00271AB3" w:rsidRDefault="00021AE5" w:rsidP="00510DBE">
            <w:pPr>
              <w:widowControl/>
              <w:autoSpaceDE/>
              <w:autoSpaceDN/>
              <w:spacing w:before="120" w:after="120"/>
              <w:jc w:val="both"/>
              <w:rPr>
                <w:rFonts w:eastAsia="Georgia"/>
                <w:b/>
                <w:sz w:val="26"/>
                <w:szCs w:val="26"/>
                <w:lang w:val="ro"/>
              </w:rPr>
            </w:pPr>
            <w:r w:rsidRPr="00271AB3">
              <w:rPr>
                <w:rFonts w:eastAsia="Georgia"/>
                <w:b/>
                <w:sz w:val="26"/>
                <w:szCs w:val="26"/>
                <w:lang w:val="ro"/>
              </w:rPr>
              <w:t>II. Condițiile ce au impus elaborarea proiectului de act normativ şi finalitățile urmărite</w:t>
            </w:r>
          </w:p>
        </w:tc>
      </w:tr>
      <w:tr w:rsidR="00021AE5" w:rsidRPr="00271AB3" w:rsidTr="00510DBE">
        <w:trPr>
          <w:trHeight w:val="841"/>
        </w:trPr>
        <w:tc>
          <w:tcPr>
            <w:tcW w:w="9781" w:type="dxa"/>
            <w:shd w:val="clear" w:color="auto" w:fill="auto"/>
          </w:tcPr>
          <w:p w:rsidR="00021AE5" w:rsidRPr="00271AB3" w:rsidRDefault="00021AE5" w:rsidP="00510DBE">
            <w:pPr>
              <w:widowControl/>
              <w:autoSpaceDE/>
              <w:autoSpaceDN/>
              <w:jc w:val="both"/>
              <w:rPr>
                <w:rFonts w:eastAsia="Georgia"/>
                <w:sz w:val="26"/>
                <w:szCs w:val="26"/>
                <w:lang w:val="ro"/>
              </w:rPr>
            </w:pPr>
            <w:r w:rsidRPr="00271AB3">
              <w:rPr>
                <w:rFonts w:eastAsia="Georgia"/>
                <w:sz w:val="26"/>
                <w:szCs w:val="26"/>
                <w:lang w:val="ro"/>
              </w:rPr>
              <w:t>În contextul dezvoltării tehnologiilor moderne, o ștampilă aplicată pe un document nu mai garantează veridicitatea actului și, în acest sens, ștampila umedă devine un exercițiu rudimentar, necesar de a fi înlocuit cu alte metode de identificare.</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Renunțarea la ștampila umedă are mai multe motive și avantaje, majoritatea legate de eficiență, securitate și modernizare. Iată câteva dintre principalele motive pentru care este necesar să renunțăm la ștampila umedă:</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1. </w:t>
            </w:r>
            <w:r w:rsidRPr="00271AB3">
              <w:rPr>
                <w:b/>
                <w:sz w:val="26"/>
                <w:szCs w:val="26"/>
                <w:lang w:val="ro"/>
              </w:rPr>
              <w:t>Digitalizarea și modernizarea administrației publice:</w:t>
            </w:r>
            <w:r w:rsidRPr="00271AB3">
              <w:rPr>
                <w:rFonts w:eastAsia="Georgia"/>
                <w:sz w:val="26"/>
                <w:szCs w:val="26"/>
                <w:lang w:val="ro"/>
              </w:rPr>
              <w:t xml:space="preserve"> Trecerea de la procesele tradiționale pe hârtie la cele digitale ajută la reducerea birocrației și la creșterea eficienței administrative. Eliminarea ștampilei umede este un pas esențial în această direcție, facilitând adoptarea semnăturilor electronice și a documentelor digitale;</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2. </w:t>
            </w:r>
            <w:r w:rsidRPr="00271AB3">
              <w:rPr>
                <w:b/>
                <w:sz w:val="26"/>
                <w:szCs w:val="26"/>
                <w:lang w:val="ro"/>
              </w:rPr>
              <w:t>Reducerea timpului și costurilor:</w:t>
            </w:r>
            <w:r w:rsidRPr="00271AB3">
              <w:rPr>
                <w:rFonts w:eastAsia="Georgia"/>
                <w:sz w:val="26"/>
                <w:szCs w:val="26"/>
                <w:lang w:val="ro"/>
              </w:rPr>
              <w:t xml:space="preserve"> Utilizarea ștampilelor umede implică procese manuale care consumă timp și resurse. Trecerea la documente digitale și semnături electronice reduce considerabil aceste costuri și timpul de procesare;</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3. </w:t>
            </w:r>
            <w:r w:rsidRPr="00271AB3">
              <w:rPr>
                <w:rFonts w:eastAsia="Georgia"/>
                <w:b/>
                <w:sz w:val="26"/>
                <w:szCs w:val="26"/>
                <w:lang w:val="ro"/>
              </w:rPr>
              <w:t>Securitate sporită:</w:t>
            </w:r>
            <w:r w:rsidRPr="00271AB3">
              <w:rPr>
                <w:rFonts w:eastAsia="Georgia"/>
                <w:sz w:val="26"/>
                <w:szCs w:val="26"/>
                <w:lang w:val="ro"/>
              </w:rPr>
              <w:t xml:space="preserve"> Semnăturile electronice și alte metode de autentificare digitală sunt, de obicei, mai sigure decât ștampilele umede, care pot fi ușor falsificate sau pierdute. Metodele digitale oferă o trasabilitate și o verificare mai riguroasă;</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4. </w:t>
            </w:r>
            <w:r w:rsidRPr="00271AB3">
              <w:rPr>
                <w:rFonts w:eastAsia="Georgia"/>
                <w:b/>
                <w:sz w:val="26"/>
                <w:szCs w:val="26"/>
                <w:lang w:val="ro"/>
              </w:rPr>
              <w:t>Accesibilitate și conveniență:</w:t>
            </w:r>
            <w:r w:rsidRPr="00271AB3">
              <w:rPr>
                <w:rFonts w:eastAsia="Georgia"/>
                <w:sz w:val="26"/>
                <w:szCs w:val="26"/>
                <w:lang w:val="ro"/>
              </w:rPr>
              <w:t xml:space="preserve"> Într-o lume tot mai globalizată și mobilă, posibilitatea de a semna și autentifica documente de la distanță este esențială. Ștampilele umede necesită prezența fizică, ceea ce poate fi un inconvenient major;</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5. </w:t>
            </w:r>
            <w:r w:rsidRPr="00271AB3">
              <w:rPr>
                <w:b/>
                <w:sz w:val="26"/>
                <w:szCs w:val="26"/>
                <w:lang w:val="ro"/>
              </w:rPr>
              <w:t>Alinierea la standardele internaționale:</w:t>
            </w:r>
            <w:r w:rsidRPr="00271AB3">
              <w:rPr>
                <w:rFonts w:eastAsia="Georgia"/>
                <w:sz w:val="26"/>
                <w:szCs w:val="26"/>
                <w:lang w:val="ro"/>
              </w:rPr>
              <w:t xml:space="preserve"> Multe țări dezvoltate au renunțat deja la ștampila umedă, adoptând soluții digitale. Alinierea la aceste standarde internaționale poate facilita cooperarea și interoperabilitatea transfrontalieră, precum și integrarea în piețele globale;</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6. </w:t>
            </w:r>
            <w:r w:rsidRPr="00271AB3">
              <w:rPr>
                <w:b/>
                <w:sz w:val="26"/>
                <w:szCs w:val="26"/>
                <w:lang w:val="ro"/>
              </w:rPr>
              <w:t>Sustenabilitate și protecția mediului:</w:t>
            </w:r>
            <w:r w:rsidRPr="00271AB3">
              <w:rPr>
                <w:rFonts w:eastAsia="Georgia"/>
                <w:sz w:val="26"/>
                <w:szCs w:val="26"/>
                <w:lang w:val="ro"/>
              </w:rPr>
              <w:t xml:space="preserve"> Reducerea utilizării hârtiei și a altor resurse necesare pentru procesele tradiționale contribuie la protejarea mediului. Digitalizarea documentelor ajută la reducerea amprentei ecologice;</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 xml:space="preserve">7. </w:t>
            </w:r>
            <w:r w:rsidRPr="00271AB3">
              <w:rPr>
                <w:rFonts w:eastAsia="Georgia"/>
                <w:b/>
                <w:sz w:val="26"/>
                <w:szCs w:val="26"/>
                <w:lang w:val="ro"/>
              </w:rPr>
              <w:t>Legalitate și recunoaștere juridică:</w:t>
            </w:r>
            <w:r w:rsidRPr="00271AB3">
              <w:rPr>
                <w:rFonts w:eastAsia="Georgia"/>
                <w:sz w:val="26"/>
                <w:szCs w:val="26"/>
                <w:lang w:val="ro"/>
              </w:rPr>
              <w:t xml:space="preserve"> În multe jurisdicții, semnăturile electronice au deja aceeași valoare legală ca și semnăturile olografe sau ștampilele umede. Recunoașterea juridică a semnăturilor electronice încurajează adoptarea acestora.</w:t>
            </w:r>
          </w:p>
          <w:p w:rsidR="00021AE5" w:rsidRPr="00271AB3" w:rsidRDefault="00021AE5" w:rsidP="00510DBE">
            <w:pPr>
              <w:keepLines/>
              <w:widowControl/>
              <w:pBdr>
                <w:top w:val="none" w:sz="0" w:space="0" w:color="E3E3E3"/>
                <w:left w:val="none" w:sz="0" w:space="0" w:color="E3E3E3"/>
                <w:bottom w:val="none" w:sz="0" w:space="0" w:color="E3E3E3"/>
                <w:right w:val="none" w:sz="0" w:space="0" w:color="E3E3E3"/>
                <w:between w:val="none" w:sz="0" w:space="0" w:color="E3E3E3"/>
              </w:pBdr>
              <w:shd w:val="clear" w:color="auto" w:fill="FFFFFF"/>
              <w:autoSpaceDE/>
              <w:autoSpaceDN/>
              <w:jc w:val="both"/>
              <w:rPr>
                <w:rFonts w:eastAsia="Georgia"/>
                <w:sz w:val="26"/>
                <w:szCs w:val="26"/>
                <w:lang w:val="ro"/>
              </w:rPr>
            </w:pPr>
            <w:r w:rsidRPr="00271AB3">
              <w:rPr>
                <w:rFonts w:eastAsia="Georgia"/>
                <w:sz w:val="26"/>
                <w:szCs w:val="26"/>
                <w:lang w:val="ro"/>
              </w:rPr>
              <w:t>În concluzie, renunțarea la ștampila umedă reprezintă un pas important către modernizarea și eficientizarea proceselor administrative și comerciale, oferind multiple avantaje în termeni de costuri, securitate, accesibilitate și sustenabilitate.</w:t>
            </w:r>
          </w:p>
        </w:tc>
      </w:tr>
      <w:tr w:rsidR="00021AE5" w:rsidRPr="00271AB3" w:rsidTr="00510DBE">
        <w:trPr>
          <w:trHeight w:val="672"/>
        </w:trPr>
        <w:tc>
          <w:tcPr>
            <w:tcW w:w="9781" w:type="dxa"/>
            <w:shd w:val="clear" w:color="auto" w:fill="ACB9CA"/>
          </w:tcPr>
          <w:p w:rsidR="00021AE5" w:rsidRPr="00271AB3" w:rsidRDefault="00021AE5" w:rsidP="00510DBE">
            <w:pPr>
              <w:widowControl/>
              <w:autoSpaceDE/>
              <w:autoSpaceDN/>
              <w:spacing w:before="120" w:after="120"/>
              <w:ind w:left="34"/>
              <w:jc w:val="both"/>
              <w:rPr>
                <w:rFonts w:eastAsia="Georgia"/>
                <w:b/>
                <w:sz w:val="26"/>
                <w:szCs w:val="26"/>
                <w:lang w:val="ro"/>
              </w:rPr>
            </w:pPr>
            <w:r w:rsidRPr="00271AB3">
              <w:rPr>
                <w:b/>
                <w:sz w:val="26"/>
                <w:szCs w:val="26"/>
                <w:lang w:val="ro"/>
              </w:rPr>
              <w:t>III. Descrierea gradului de compatibilitate pentru proiectele care au ca scop armonizarea legislației naționale cu legislația Uniunii Europene</w:t>
            </w:r>
          </w:p>
        </w:tc>
      </w:tr>
      <w:tr w:rsidR="00021AE5" w:rsidRPr="00271AB3" w:rsidTr="00510DBE">
        <w:trPr>
          <w:trHeight w:val="672"/>
        </w:trPr>
        <w:tc>
          <w:tcPr>
            <w:tcW w:w="9781" w:type="dxa"/>
            <w:shd w:val="clear" w:color="auto" w:fill="auto"/>
          </w:tcPr>
          <w:p w:rsidR="00021AE5" w:rsidRPr="00271AB3" w:rsidRDefault="00021AE5" w:rsidP="00510DBE">
            <w:pPr>
              <w:widowControl/>
              <w:autoSpaceDE/>
              <w:autoSpaceDN/>
              <w:jc w:val="both"/>
              <w:rPr>
                <w:rFonts w:eastAsia="Georgia"/>
                <w:sz w:val="26"/>
                <w:szCs w:val="26"/>
                <w:lang w:val="ro"/>
              </w:rPr>
            </w:pPr>
            <w:r w:rsidRPr="00271AB3">
              <w:rPr>
                <w:sz w:val="26"/>
                <w:szCs w:val="26"/>
                <w:lang w:val="ro"/>
              </w:rPr>
              <w:lastRenderedPageBreak/>
              <w:t>Proiectul de lege nu conține norme privind armonizarea legislației naționale cu legislația Uniunii Europene.</w:t>
            </w:r>
          </w:p>
        </w:tc>
      </w:tr>
      <w:tr w:rsidR="00021AE5" w:rsidRPr="00271AB3" w:rsidTr="00510DBE">
        <w:tc>
          <w:tcPr>
            <w:tcW w:w="9781" w:type="dxa"/>
            <w:shd w:val="clear" w:color="auto" w:fill="ACB9CA"/>
          </w:tcPr>
          <w:p w:rsidR="00021AE5" w:rsidRPr="00271AB3" w:rsidRDefault="00021AE5" w:rsidP="00510DBE">
            <w:pPr>
              <w:widowControl/>
              <w:autoSpaceDE/>
              <w:autoSpaceDN/>
              <w:spacing w:before="120" w:after="120"/>
              <w:jc w:val="both"/>
              <w:rPr>
                <w:rFonts w:eastAsia="Georgia"/>
                <w:b/>
                <w:sz w:val="26"/>
                <w:szCs w:val="26"/>
                <w:lang w:val="ro"/>
              </w:rPr>
            </w:pPr>
            <w:r w:rsidRPr="00271AB3">
              <w:rPr>
                <w:b/>
                <w:sz w:val="26"/>
                <w:szCs w:val="26"/>
                <w:lang w:val="ro"/>
              </w:rPr>
              <w:t>IV. Principalele prevederi ale proiectului și evidențierea elementelor noi</w:t>
            </w:r>
          </w:p>
        </w:tc>
      </w:tr>
      <w:tr w:rsidR="00021AE5" w:rsidRPr="00271AB3" w:rsidTr="00510DBE">
        <w:tc>
          <w:tcPr>
            <w:tcW w:w="9781" w:type="dxa"/>
            <w:shd w:val="clear" w:color="auto" w:fill="auto"/>
          </w:tcPr>
          <w:p w:rsidR="00021AE5" w:rsidRPr="00271AB3" w:rsidRDefault="00021AE5" w:rsidP="00510DBE">
            <w:pPr>
              <w:widowControl/>
              <w:autoSpaceDE/>
              <w:autoSpaceDN/>
              <w:jc w:val="both"/>
              <w:rPr>
                <w:rFonts w:eastAsia="Georgia"/>
                <w:sz w:val="26"/>
                <w:szCs w:val="26"/>
                <w:highlight w:val="white"/>
                <w:lang w:val="ro"/>
              </w:rPr>
            </w:pPr>
            <w:r w:rsidRPr="00271AB3">
              <w:rPr>
                <w:rFonts w:eastAsia="Georgia"/>
                <w:sz w:val="26"/>
                <w:szCs w:val="26"/>
                <w:lang w:val="ro"/>
              </w:rPr>
              <w:t xml:space="preserve">Proiectul de lege vine să ofere persoanelor juridice de drept public, posibilitatea de a nu </w:t>
            </w:r>
            <w:r w:rsidRPr="00271AB3">
              <w:rPr>
                <w:rFonts w:eastAsia="Georgia"/>
                <w:sz w:val="26"/>
                <w:szCs w:val="26"/>
                <w:highlight w:val="white"/>
                <w:lang w:val="ro"/>
              </w:rPr>
              <w:t>deține și aplica ștampila proprie pe înscrisuri de orice natură,</w:t>
            </w:r>
            <w:r w:rsidRPr="00271AB3">
              <w:rPr>
                <w:sz w:val="26"/>
                <w:szCs w:val="26"/>
              </w:rPr>
              <w:t xml:space="preserve"> </w:t>
            </w:r>
            <w:r w:rsidRPr="00271AB3">
              <w:rPr>
                <w:rFonts w:eastAsia="Georgia"/>
                <w:sz w:val="26"/>
                <w:szCs w:val="26"/>
                <w:lang w:val="ro"/>
              </w:rPr>
              <w:t>cu excepţia cazurilor în care actele legislative prevăd expres cerinţa aplicării ştampilei.</w:t>
            </w:r>
            <w:r w:rsidRPr="00271AB3">
              <w:rPr>
                <w:rFonts w:eastAsia="Georgia"/>
                <w:sz w:val="26"/>
                <w:szCs w:val="26"/>
                <w:highlight w:val="white"/>
                <w:lang w:val="ro"/>
              </w:rPr>
              <w:t xml:space="preserve"> Aceasta va putea fi înlocuită cu semnătura (electronică sau olografă) a persoanei împuternicite de a semna actele din numele instituției publice.</w:t>
            </w:r>
          </w:p>
        </w:tc>
      </w:tr>
      <w:tr w:rsidR="00021AE5" w:rsidRPr="00271AB3" w:rsidTr="00510DBE">
        <w:tc>
          <w:tcPr>
            <w:tcW w:w="9781" w:type="dxa"/>
            <w:shd w:val="clear" w:color="auto" w:fill="ACB9CA"/>
          </w:tcPr>
          <w:p w:rsidR="00021AE5" w:rsidRPr="00271AB3" w:rsidRDefault="00021AE5" w:rsidP="00510DBE">
            <w:pPr>
              <w:widowControl/>
              <w:autoSpaceDE/>
              <w:autoSpaceDN/>
              <w:spacing w:before="120" w:after="120"/>
              <w:jc w:val="both"/>
              <w:rPr>
                <w:rFonts w:eastAsia="Georgia"/>
                <w:b/>
                <w:sz w:val="26"/>
                <w:szCs w:val="26"/>
                <w:lang w:val="ro"/>
              </w:rPr>
            </w:pPr>
            <w:r w:rsidRPr="00271AB3">
              <w:rPr>
                <w:rFonts w:eastAsia="Georgia"/>
                <w:b/>
                <w:sz w:val="26"/>
                <w:szCs w:val="26"/>
                <w:lang w:val="ro"/>
              </w:rPr>
              <w:t>V. Fundamentarea economico-financiară</w:t>
            </w:r>
          </w:p>
        </w:tc>
      </w:tr>
      <w:tr w:rsidR="00021AE5" w:rsidRPr="00271AB3" w:rsidTr="00510DBE">
        <w:tc>
          <w:tcPr>
            <w:tcW w:w="9781" w:type="dxa"/>
            <w:shd w:val="clear" w:color="auto" w:fill="auto"/>
          </w:tcPr>
          <w:p w:rsidR="00021AE5" w:rsidRPr="00271AB3" w:rsidRDefault="00021AE5" w:rsidP="00510DBE">
            <w:pPr>
              <w:widowControl/>
              <w:autoSpaceDE/>
              <w:autoSpaceDN/>
              <w:jc w:val="both"/>
              <w:rPr>
                <w:rFonts w:eastAsia="Georgia"/>
                <w:sz w:val="26"/>
                <w:szCs w:val="26"/>
                <w:lang w:val="ro"/>
              </w:rPr>
            </w:pPr>
            <w:r w:rsidRPr="00271AB3">
              <w:rPr>
                <w:sz w:val="26"/>
                <w:szCs w:val="26"/>
                <w:lang w:val="ro"/>
              </w:rPr>
              <w:t>Pentru implementarea proiectului nu sunt necesare surse financiare din bugetul public național.</w:t>
            </w:r>
          </w:p>
        </w:tc>
      </w:tr>
      <w:tr w:rsidR="00021AE5" w:rsidRPr="00271AB3" w:rsidTr="00510DBE">
        <w:tc>
          <w:tcPr>
            <w:tcW w:w="9781" w:type="dxa"/>
            <w:shd w:val="clear" w:color="auto" w:fill="ACB9CA"/>
          </w:tcPr>
          <w:p w:rsidR="00021AE5" w:rsidRPr="00271AB3" w:rsidRDefault="00021AE5" w:rsidP="00510DBE">
            <w:pPr>
              <w:widowControl/>
              <w:autoSpaceDE/>
              <w:autoSpaceDN/>
              <w:spacing w:before="120" w:after="120"/>
              <w:jc w:val="both"/>
              <w:rPr>
                <w:rFonts w:eastAsia="Georgia"/>
                <w:b/>
                <w:sz w:val="26"/>
                <w:szCs w:val="26"/>
                <w:lang w:val="ro"/>
              </w:rPr>
            </w:pPr>
            <w:r w:rsidRPr="00271AB3">
              <w:rPr>
                <w:rFonts w:eastAsia="Georgia"/>
                <w:b/>
                <w:sz w:val="26"/>
                <w:szCs w:val="26"/>
                <w:lang w:val="ro"/>
              </w:rPr>
              <w:t>VI. Modul de încorporare a actului în cadrul normativ în vigoare</w:t>
            </w:r>
          </w:p>
        </w:tc>
      </w:tr>
      <w:tr w:rsidR="00021AE5" w:rsidRPr="00271AB3" w:rsidTr="00510DBE">
        <w:trPr>
          <w:trHeight w:val="665"/>
        </w:trPr>
        <w:tc>
          <w:tcPr>
            <w:tcW w:w="9781" w:type="dxa"/>
            <w:shd w:val="clear" w:color="auto" w:fill="auto"/>
          </w:tcPr>
          <w:p w:rsidR="00021AE5" w:rsidRPr="00271AB3" w:rsidRDefault="00021AE5" w:rsidP="00510DBE">
            <w:pPr>
              <w:widowControl/>
              <w:autoSpaceDE/>
              <w:autoSpaceDN/>
              <w:jc w:val="both"/>
              <w:rPr>
                <w:rFonts w:eastAsia="Georgia"/>
                <w:sz w:val="26"/>
                <w:szCs w:val="26"/>
                <w:highlight w:val="white"/>
                <w:lang w:val="ro"/>
              </w:rPr>
            </w:pPr>
            <w:r w:rsidRPr="00271AB3">
              <w:rPr>
                <w:rFonts w:eastAsia="Georgia"/>
                <w:sz w:val="26"/>
                <w:szCs w:val="26"/>
                <w:highlight w:val="white"/>
                <w:lang w:val="ro"/>
              </w:rPr>
              <w:t xml:space="preserve">Adoptarea </w:t>
            </w:r>
            <w:r>
              <w:rPr>
                <w:rFonts w:eastAsia="Georgia"/>
                <w:sz w:val="26"/>
                <w:szCs w:val="26"/>
                <w:highlight w:val="white"/>
                <w:lang w:val="ro"/>
              </w:rPr>
              <w:t>proiectului de l</w:t>
            </w:r>
            <w:r w:rsidRPr="00271AB3">
              <w:rPr>
                <w:rFonts w:eastAsia="Georgia"/>
                <w:sz w:val="26"/>
                <w:szCs w:val="26"/>
                <w:highlight w:val="white"/>
                <w:lang w:val="ro"/>
              </w:rPr>
              <w:t>ege nu implică modificarea sau abrogarea altor acte normative.</w:t>
            </w:r>
          </w:p>
        </w:tc>
      </w:tr>
      <w:tr w:rsidR="00021AE5" w:rsidRPr="00271AB3" w:rsidTr="00510DBE">
        <w:tc>
          <w:tcPr>
            <w:tcW w:w="9781" w:type="dxa"/>
            <w:shd w:val="clear" w:color="auto" w:fill="ACB9CA"/>
          </w:tcPr>
          <w:p w:rsidR="00021AE5" w:rsidRPr="00271AB3" w:rsidRDefault="00021AE5" w:rsidP="00510DBE">
            <w:pPr>
              <w:widowControl/>
              <w:autoSpaceDE/>
              <w:autoSpaceDN/>
              <w:spacing w:before="120" w:after="120"/>
              <w:jc w:val="both"/>
              <w:rPr>
                <w:rFonts w:eastAsia="Georgia"/>
                <w:b/>
                <w:sz w:val="26"/>
                <w:szCs w:val="26"/>
                <w:lang w:val="ro"/>
              </w:rPr>
            </w:pPr>
            <w:r w:rsidRPr="00271AB3">
              <w:rPr>
                <w:rFonts w:eastAsia="Georgia"/>
                <w:b/>
                <w:sz w:val="26"/>
                <w:szCs w:val="26"/>
                <w:lang w:val="ro"/>
              </w:rPr>
              <w:t>VII. Avizarea și consultarea publică a proiectului</w:t>
            </w:r>
          </w:p>
        </w:tc>
      </w:tr>
      <w:tr w:rsidR="00021AE5" w:rsidRPr="00271AB3" w:rsidTr="00510DBE">
        <w:tc>
          <w:tcPr>
            <w:tcW w:w="9781" w:type="dxa"/>
            <w:shd w:val="clear" w:color="auto" w:fill="auto"/>
          </w:tcPr>
          <w:p w:rsidR="00021AE5" w:rsidRPr="00271AB3" w:rsidRDefault="00021AE5" w:rsidP="00510DBE">
            <w:pPr>
              <w:widowControl/>
              <w:autoSpaceDE/>
              <w:autoSpaceDN/>
              <w:jc w:val="both"/>
              <w:rPr>
                <w:rFonts w:eastAsia="Georgia"/>
                <w:sz w:val="26"/>
                <w:szCs w:val="26"/>
                <w:lang w:val="ro"/>
              </w:rPr>
            </w:pPr>
            <w:r w:rsidRPr="003349BE">
              <w:rPr>
                <w:rFonts w:eastAsia="Georgia"/>
                <w:sz w:val="26"/>
                <w:szCs w:val="26"/>
                <w:lang w:val="ro"/>
              </w:rPr>
              <w:t xml:space="preserve">În conformitate cu procedurile stabilite pentru transparența în procesul decizional şi în vederea elaborării actelor normative, Anunțul pentru inițierea elaborării proiectului de act normativ este plasat pe pagina web oficială a Ministerului Dezvoltării Economice și Digitalizării (mded.gov.md), rubrica Transparența/Anunțuri privind consultările publice, precum şi pe portalul guvernamental </w:t>
            </w:r>
            <w:hyperlink r:id="rId4" w:history="1">
              <w:r w:rsidRPr="00AC312C">
                <w:rPr>
                  <w:rStyle w:val="Hyperlink"/>
                  <w:rFonts w:eastAsia="Georgia"/>
                  <w:sz w:val="26"/>
                  <w:szCs w:val="26"/>
                  <w:lang w:val="ro"/>
                </w:rPr>
                <w:t>https://particip.gov.md/ro/document/stages/*/12615</w:t>
              </w:r>
            </w:hyperlink>
            <w:r>
              <w:rPr>
                <w:rFonts w:eastAsia="Georgia"/>
                <w:sz w:val="26"/>
                <w:szCs w:val="26"/>
                <w:lang w:val="ro"/>
              </w:rPr>
              <w:t>.</w:t>
            </w:r>
          </w:p>
        </w:tc>
      </w:tr>
      <w:tr w:rsidR="00021AE5" w:rsidRPr="00271AB3" w:rsidTr="00510DBE">
        <w:tc>
          <w:tcPr>
            <w:tcW w:w="9781" w:type="dxa"/>
            <w:shd w:val="clear" w:color="auto" w:fill="ACB9CA"/>
          </w:tcPr>
          <w:p w:rsidR="00021AE5" w:rsidRPr="00271AB3" w:rsidRDefault="00021AE5" w:rsidP="00510DBE">
            <w:pPr>
              <w:widowControl/>
              <w:autoSpaceDE/>
              <w:autoSpaceDN/>
              <w:spacing w:before="120" w:after="120"/>
              <w:jc w:val="both"/>
              <w:rPr>
                <w:rFonts w:eastAsia="Georgia"/>
                <w:b/>
                <w:sz w:val="26"/>
                <w:szCs w:val="26"/>
                <w:highlight w:val="darkGray"/>
                <w:lang w:val="ro"/>
              </w:rPr>
            </w:pPr>
            <w:r w:rsidRPr="00271AB3">
              <w:rPr>
                <w:rFonts w:eastAsia="Georgia"/>
                <w:b/>
                <w:sz w:val="26"/>
                <w:szCs w:val="26"/>
                <w:lang w:val="ro"/>
              </w:rPr>
              <w:t>VIII. Constatările expertizei anticorupție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021AE5" w:rsidRPr="00271AB3" w:rsidRDefault="00021AE5" w:rsidP="00510DBE">
            <w:pPr>
              <w:widowControl/>
              <w:tabs>
                <w:tab w:val="left" w:pos="317"/>
              </w:tabs>
              <w:autoSpaceDE/>
              <w:autoSpaceDN/>
              <w:jc w:val="both"/>
              <w:rPr>
                <w:rFonts w:eastAsia="Georgia"/>
                <w:sz w:val="26"/>
                <w:szCs w:val="26"/>
                <w:lang w:val="ro"/>
              </w:rPr>
            </w:pPr>
            <w:r w:rsidRPr="00271AB3">
              <w:rPr>
                <w:rFonts w:eastAsia="Georgia"/>
                <w:sz w:val="26"/>
                <w:szCs w:val="26"/>
                <w:lang w:val="ro"/>
              </w:rPr>
              <w:t xml:space="preserve">Proiectul va fi supus expertizei anticorupție în conformitate cu art. 36 din Legea </w:t>
            </w:r>
            <w:r>
              <w:rPr>
                <w:rFonts w:eastAsia="Georgia"/>
                <w:sz w:val="26"/>
                <w:szCs w:val="26"/>
                <w:lang w:val="ro"/>
              </w:rPr>
              <w:t xml:space="preserve">nr. 100/2017 cu privire la actele normative. </w:t>
            </w:r>
            <w:r w:rsidRPr="00271AB3">
              <w:rPr>
                <w:rFonts w:eastAsia="Georgia"/>
                <w:sz w:val="26"/>
                <w:szCs w:val="26"/>
                <w:lang w:val="ro"/>
              </w:rPr>
              <w:t>Informația privind rezultatele expertizei anticorupție va fi inclusă după recepționarea raportului de expertiză anticorupție în sinteza obiecțiilor și propunerilor/</w:t>
            </w:r>
            <w:r>
              <w:rPr>
                <w:rFonts w:eastAsia="Georgia"/>
                <w:sz w:val="26"/>
                <w:szCs w:val="26"/>
                <w:lang w:val="ro"/>
              </w:rPr>
              <w:t>recomandărilor la proiectul de l</w:t>
            </w:r>
            <w:r w:rsidRPr="00271AB3">
              <w:rPr>
                <w:rFonts w:eastAsia="Georgia"/>
                <w:sz w:val="26"/>
                <w:szCs w:val="26"/>
                <w:lang w:val="ro"/>
              </w:rPr>
              <w:t>ege.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021AE5" w:rsidRPr="00271AB3" w:rsidRDefault="00021AE5" w:rsidP="00510DBE">
            <w:pPr>
              <w:widowControl/>
              <w:tabs>
                <w:tab w:val="left" w:pos="317"/>
              </w:tabs>
              <w:autoSpaceDE/>
              <w:autoSpaceDN/>
              <w:jc w:val="both"/>
              <w:rPr>
                <w:rFonts w:eastAsia="Georgia"/>
                <w:b/>
                <w:sz w:val="26"/>
                <w:szCs w:val="26"/>
                <w:lang w:val="ro"/>
              </w:rPr>
            </w:pPr>
            <w:r w:rsidRPr="00271AB3">
              <w:rPr>
                <w:rFonts w:eastAsia="Georgia"/>
                <w:b/>
                <w:sz w:val="26"/>
                <w:szCs w:val="26"/>
                <w:lang w:val="ro"/>
              </w:rPr>
              <w:t>IX. Constatările expertizei de compatibilitate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021AE5" w:rsidRPr="00271AB3" w:rsidRDefault="00021AE5" w:rsidP="00510DBE">
            <w:pPr>
              <w:widowControl/>
              <w:tabs>
                <w:tab w:val="left" w:pos="317"/>
              </w:tabs>
              <w:autoSpaceDE/>
              <w:autoSpaceDN/>
              <w:jc w:val="both"/>
              <w:rPr>
                <w:rFonts w:eastAsia="Georgia"/>
                <w:sz w:val="26"/>
                <w:szCs w:val="26"/>
                <w:lang w:val="ro"/>
              </w:rPr>
            </w:pPr>
            <w:r>
              <w:rPr>
                <w:sz w:val="26"/>
                <w:szCs w:val="26"/>
                <w:lang w:val="ro"/>
              </w:rPr>
              <w:t>Proiectul de l</w:t>
            </w:r>
            <w:r w:rsidRPr="00271AB3">
              <w:rPr>
                <w:sz w:val="26"/>
                <w:szCs w:val="26"/>
                <w:lang w:val="ro"/>
              </w:rPr>
              <w:t>ege nu conține norme privind armonizarea legislației naționale cu legislația Uniunii Europene.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021AE5" w:rsidRPr="00271AB3" w:rsidRDefault="00021AE5" w:rsidP="00510DBE">
            <w:pPr>
              <w:widowControl/>
              <w:tabs>
                <w:tab w:val="left" w:pos="317"/>
              </w:tabs>
              <w:autoSpaceDE/>
              <w:autoSpaceDN/>
              <w:jc w:val="both"/>
              <w:rPr>
                <w:rFonts w:eastAsia="Georgia"/>
                <w:b/>
                <w:sz w:val="26"/>
                <w:szCs w:val="26"/>
                <w:lang w:val="ro"/>
              </w:rPr>
            </w:pPr>
            <w:r w:rsidRPr="00271AB3">
              <w:rPr>
                <w:rFonts w:eastAsia="Georgia"/>
                <w:b/>
                <w:sz w:val="26"/>
                <w:szCs w:val="26"/>
                <w:lang w:val="ro"/>
              </w:rPr>
              <w:t>X. Constatările expertizei juridice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021AE5" w:rsidRPr="00271AB3" w:rsidRDefault="00021AE5" w:rsidP="00510DBE">
            <w:pPr>
              <w:widowControl/>
              <w:tabs>
                <w:tab w:val="left" w:pos="317"/>
              </w:tabs>
              <w:autoSpaceDE/>
              <w:autoSpaceDN/>
              <w:jc w:val="both"/>
              <w:rPr>
                <w:rFonts w:eastAsia="Georgia"/>
                <w:sz w:val="26"/>
                <w:szCs w:val="26"/>
                <w:lang w:val="ro"/>
              </w:rPr>
            </w:pPr>
            <w:r>
              <w:rPr>
                <w:rFonts w:eastAsia="Georgia"/>
                <w:sz w:val="26"/>
                <w:szCs w:val="26"/>
                <w:lang w:val="ro"/>
              </w:rPr>
              <w:t>Proiectul de l</w:t>
            </w:r>
            <w:r w:rsidRPr="00271AB3">
              <w:rPr>
                <w:rFonts w:eastAsia="Georgia"/>
                <w:sz w:val="26"/>
                <w:szCs w:val="26"/>
                <w:lang w:val="ro"/>
              </w:rPr>
              <w:t>ege urmează a fi supus expertizei juridice în conformitate cu art. 37 din Legea</w:t>
            </w:r>
            <w:r>
              <w:rPr>
                <w:rFonts w:eastAsia="Georgia"/>
                <w:sz w:val="26"/>
                <w:szCs w:val="26"/>
                <w:lang w:val="ro"/>
              </w:rPr>
              <w:t xml:space="preserve"> nr. 100/2017</w:t>
            </w:r>
            <w:r w:rsidRPr="00271AB3">
              <w:rPr>
                <w:rFonts w:eastAsia="Georgia"/>
                <w:sz w:val="26"/>
                <w:szCs w:val="26"/>
                <w:lang w:val="ro"/>
              </w:rPr>
              <w:t xml:space="preserve"> cu privire la actele normative în procesul desfășurării procesului de avizare.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021AE5" w:rsidRPr="00271AB3" w:rsidRDefault="00021AE5" w:rsidP="00510DBE">
            <w:pPr>
              <w:widowControl/>
              <w:tabs>
                <w:tab w:val="left" w:pos="317"/>
              </w:tabs>
              <w:autoSpaceDE/>
              <w:autoSpaceDN/>
              <w:jc w:val="both"/>
              <w:rPr>
                <w:rFonts w:eastAsia="Georgia"/>
                <w:b/>
                <w:sz w:val="26"/>
                <w:szCs w:val="26"/>
                <w:lang w:val="ro"/>
              </w:rPr>
            </w:pPr>
            <w:r w:rsidRPr="00271AB3">
              <w:rPr>
                <w:rFonts w:eastAsia="Georgia"/>
                <w:b/>
                <w:sz w:val="26"/>
                <w:szCs w:val="26"/>
                <w:lang w:val="ro"/>
              </w:rPr>
              <w:t>XI. Constatările altor expertize</w:t>
            </w:r>
          </w:p>
        </w:tc>
      </w:tr>
      <w:tr w:rsidR="00021AE5" w:rsidRPr="00271AB3" w:rsidTr="00510DB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021AE5" w:rsidRPr="00271AB3" w:rsidRDefault="00021AE5" w:rsidP="00510DBE">
            <w:pPr>
              <w:widowControl/>
              <w:tabs>
                <w:tab w:val="left" w:pos="317"/>
              </w:tabs>
              <w:autoSpaceDE/>
              <w:autoSpaceDN/>
              <w:jc w:val="both"/>
              <w:rPr>
                <w:rFonts w:eastAsia="Georgia"/>
                <w:sz w:val="26"/>
                <w:szCs w:val="26"/>
                <w:lang w:val="ro"/>
              </w:rPr>
            </w:pPr>
            <w:r w:rsidRPr="00271AB3">
              <w:rPr>
                <w:rFonts w:eastAsia="Georgia"/>
                <w:sz w:val="26"/>
                <w:szCs w:val="26"/>
                <w:lang w:val="ro"/>
              </w:rPr>
              <w:t>Proiectul de lege nu cade sub incidenţa metodologiei de analiză a impactului în procesul de fundamentare a proiectelor de acte normative, aprobată prin Hotărârea Guvernului nr. 23/2019.</w:t>
            </w:r>
          </w:p>
        </w:tc>
      </w:tr>
    </w:tbl>
    <w:p w:rsidR="00021AE5" w:rsidRPr="00271AB3" w:rsidRDefault="00021AE5" w:rsidP="00021AE5">
      <w:pPr>
        <w:widowControl/>
        <w:autoSpaceDE/>
        <w:autoSpaceDN/>
        <w:jc w:val="right"/>
        <w:rPr>
          <w:rFonts w:eastAsia="Georgia"/>
          <w:b/>
          <w:sz w:val="26"/>
          <w:szCs w:val="26"/>
          <w:lang w:val="ro"/>
        </w:rPr>
      </w:pPr>
    </w:p>
    <w:p w:rsidR="00021AE5" w:rsidRPr="00271AB3" w:rsidRDefault="00021AE5" w:rsidP="00021AE5">
      <w:pPr>
        <w:widowControl/>
        <w:autoSpaceDE/>
        <w:autoSpaceDN/>
        <w:rPr>
          <w:rFonts w:eastAsia="Georgia"/>
          <w:b/>
          <w:sz w:val="26"/>
          <w:szCs w:val="26"/>
          <w:lang w:val="ro"/>
        </w:rPr>
      </w:pPr>
    </w:p>
    <w:p w:rsidR="00021AE5" w:rsidRPr="00271AB3" w:rsidRDefault="00021AE5" w:rsidP="00021AE5">
      <w:pPr>
        <w:spacing w:before="59"/>
        <w:ind w:right="65" w:firstLine="708"/>
        <w:rPr>
          <w:b/>
          <w:sz w:val="26"/>
          <w:szCs w:val="26"/>
        </w:rPr>
      </w:pPr>
      <w:r>
        <w:rPr>
          <w:b/>
          <w:sz w:val="26"/>
          <w:szCs w:val="26"/>
        </w:rPr>
        <w:t xml:space="preserve">              </w:t>
      </w:r>
      <w:r w:rsidRPr="00271AB3">
        <w:rPr>
          <w:b/>
          <w:sz w:val="26"/>
          <w:szCs w:val="26"/>
        </w:rPr>
        <w:t>Secretar de Stat                                                       Cătălina PLINSCHI</w:t>
      </w:r>
    </w:p>
    <w:p w:rsidR="00F12C76" w:rsidRDefault="00F12C76" w:rsidP="006C0B77">
      <w:pPr>
        <w:ind w:firstLine="709"/>
        <w:jc w:val="both"/>
      </w:pPr>
    </w:p>
    <w:sectPr w:rsidR="00F12C76" w:rsidSect="007905DB">
      <w:pgSz w:w="12240" w:h="15840"/>
      <w:pgMar w:top="1160" w:right="840" w:bottom="700" w:left="1700" w:header="0" w:footer="4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84"/>
    <w:rsid w:val="00021AE5"/>
    <w:rsid w:val="006C0B77"/>
    <w:rsid w:val="008242FF"/>
    <w:rsid w:val="00870751"/>
    <w:rsid w:val="00922C48"/>
    <w:rsid w:val="00B915B7"/>
    <w:rsid w:val="00BF7F8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63056-D6E5-497E-B4EF-B5CA20C9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1AE5"/>
    <w:pPr>
      <w:widowControl w:val="0"/>
      <w:autoSpaceDE w:val="0"/>
      <w:autoSpaceDN w:val="0"/>
      <w:spacing w:after="0" w:line="240" w:lineRule="auto"/>
    </w:pPr>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ticip.gov.md/ro/document/stages/*/12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Vornic</dc:creator>
  <cp:keywords/>
  <dc:description/>
  <cp:lastModifiedBy>Stefan Vornic</cp:lastModifiedBy>
  <cp:revision>2</cp:revision>
  <dcterms:created xsi:type="dcterms:W3CDTF">2024-05-31T10:39:00Z</dcterms:created>
  <dcterms:modified xsi:type="dcterms:W3CDTF">2024-05-31T10:39:00Z</dcterms:modified>
</cp:coreProperties>
</file>