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E624" w14:textId="77777777" w:rsidR="00DA727E" w:rsidRPr="00C442EC" w:rsidRDefault="00DA727E" w:rsidP="00DA727E">
      <w:pPr>
        <w:tabs>
          <w:tab w:val="left" w:pos="884"/>
          <w:tab w:val="left" w:pos="1196"/>
        </w:tabs>
        <w:spacing w:after="0" w:line="240" w:lineRule="auto"/>
        <w:jc w:val="center"/>
        <w:rPr>
          <w:rFonts w:ascii="Times New Roman" w:eastAsia="Calibri" w:hAnsi="Times New Roman" w:cs="Times New Roman"/>
          <w:b/>
          <w:sz w:val="26"/>
          <w:szCs w:val="26"/>
        </w:rPr>
      </w:pPr>
      <w:r w:rsidRPr="00C442EC">
        <w:rPr>
          <w:rFonts w:ascii="Times New Roman" w:eastAsia="Calibri" w:hAnsi="Times New Roman" w:cs="Times New Roman"/>
          <w:b/>
          <w:sz w:val="26"/>
          <w:szCs w:val="26"/>
        </w:rPr>
        <w:t>Notă Informativă</w:t>
      </w:r>
    </w:p>
    <w:p w14:paraId="4DF1E139" w14:textId="16246B6F" w:rsidR="00EC3DC0" w:rsidRPr="00C442EC" w:rsidRDefault="00DA727E" w:rsidP="00DA727E">
      <w:pPr>
        <w:tabs>
          <w:tab w:val="left" w:pos="884"/>
          <w:tab w:val="left" w:pos="1196"/>
        </w:tabs>
        <w:spacing w:after="0" w:line="240" w:lineRule="auto"/>
        <w:jc w:val="center"/>
        <w:rPr>
          <w:rFonts w:ascii="Times New Roman" w:eastAsia="Calibri" w:hAnsi="Times New Roman" w:cs="Times New Roman"/>
          <w:b/>
          <w:sz w:val="26"/>
          <w:szCs w:val="26"/>
        </w:rPr>
      </w:pPr>
      <w:r w:rsidRPr="00C442EC">
        <w:rPr>
          <w:rFonts w:ascii="Times New Roman" w:eastAsia="Calibri" w:hAnsi="Times New Roman" w:cs="Times New Roman"/>
          <w:b/>
          <w:sz w:val="26"/>
          <w:szCs w:val="26"/>
        </w:rPr>
        <w:t>la proiectul de Hotăr</w:t>
      </w:r>
      <w:r w:rsidR="004C16A4">
        <w:rPr>
          <w:rFonts w:ascii="Times New Roman" w:eastAsia="Calibri" w:hAnsi="Times New Roman" w:cs="Times New Roman"/>
          <w:b/>
          <w:sz w:val="26"/>
          <w:szCs w:val="26"/>
        </w:rPr>
        <w:t>â</w:t>
      </w:r>
      <w:r w:rsidRPr="00C442EC">
        <w:rPr>
          <w:rFonts w:ascii="Times New Roman" w:eastAsia="Calibri" w:hAnsi="Times New Roman" w:cs="Times New Roman"/>
          <w:b/>
          <w:sz w:val="26"/>
          <w:szCs w:val="26"/>
        </w:rPr>
        <w:t xml:space="preserve">re de Guvern cu privire la modificarea și completarea </w:t>
      </w:r>
      <w:r w:rsidR="00A73B6C" w:rsidRPr="00A73B6C">
        <w:rPr>
          <w:rFonts w:ascii="Times New Roman" w:eastAsia="Calibri" w:hAnsi="Times New Roman" w:cs="Times New Roman"/>
          <w:b/>
          <w:sz w:val="26"/>
          <w:szCs w:val="26"/>
        </w:rPr>
        <w:t>proiectul</w:t>
      </w:r>
      <w:r w:rsidR="00A73B6C">
        <w:rPr>
          <w:rFonts w:ascii="Times New Roman" w:eastAsia="Calibri" w:hAnsi="Times New Roman" w:cs="Times New Roman"/>
          <w:b/>
          <w:sz w:val="26"/>
          <w:szCs w:val="26"/>
        </w:rPr>
        <w:t>ui</w:t>
      </w:r>
      <w:r w:rsidR="00A73B6C" w:rsidRPr="00A73B6C">
        <w:rPr>
          <w:rFonts w:ascii="Times New Roman" w:eastAsia="Calibri" w:hAnsi="Times New Roman" w:cs="Times New Roman"/>
          <w:b/>
          <w:sz w:val="26"/>
          <w:szCs w:val="26"/>
        </w:rPr>
        <w:t xml:space="preserve"> de modificare a Hotărârii Guvernului 43/2013 pentru aprobarea Regulamentului privind testarea şi admiterea soiurilor în Catalogul soiurilor de plante</w:t>
      </w:r>
    </w:p>
    <w:p w14:paraId="535A2225" w14:textId="77777777" w:rsidR="00DA727E" w:rsidRPr="00C442EC" w:rsidRDefault="00DA727E" w:rsidP="00DA727E">
      <w:pPr>
        <w:tabs>
          <w:tab w:val="left" w:pos="884"/>
          <w:tab w:val="left" w:pos="1196"/>
        </w:tabs>
        <w:spacing w:after="0" w:line="240" w:lineRule="auto"/>
        <w:jc w:val="center"/>
        <w:rPr>
          <w:rFonts w:ascii="Times New Roman" w:eastAsia="Calibri" w:hAnsi="Times New Roman" w:cs="Times New Roman"/>
          <w:sz w:val="26"/>
          <w:szCs w:val="26"/>
        </w:rPr>
      </w:pPr>
    </w:p>
    <w:tbl>
      <w:tblPr>
        <w:tblStyle w:val="Tabelgril"/>
        <w:tblW w:w="0" w:type="auto"/>
        <w:tblInd w:w="137" w:type="dxa"/>
        <w:tblLook w:val="04A0" w:firstRow="1" w:lastRow="0" w:firstColumn="1" w:lastColumn="0" w:noHBand="0" w:noVBand="1"/>
      </w:tblPr>
      <w:tblGrid>
        <w:gridCol w:w="9209"/>
      </w:tblGrid>
      <w:tr w:rsidR="00C442EC" w:rsidRPr="00C442EC" w14:paraId="08048EED" w14:textId="77777777" w:rsidTr="009779A6">
        <w:tc>
          <w:tcPr>
            <w:tcW w:w="9209" w:type="dxa"/>
          </w:tcPr>
          <w:p w14:paraId="43DCC87F" w14:textId="77777777" w:rsidR="00EC3DC0" w:rsidRPr="00C442EC" w:rsidRDefault="00EC3DC0" w:rsidP="009779A6">
            <w:pPr>
              <w:rPr>
                <w:rFonts w:ascii="Times New Roman" w:eastAsia="Calibri" w:hAnsi="Times New Roman" w:cs="Times New Roman"/>
                <w:sz w:val="26"/>
                <w:szCs w:val="26"/>
              </w:rPr>
            </w:pPr>
            <w:r w:rsidRPr="00C442EC">
              <w:rPr>
                <w:rFonts w:ascii="Times New Roman" w:eastAsia="Calibri" w:hAnsi="Times New Roman" w:cs="Times New Roman"/>
                <w:b/>
                <w:sz w:val="26"/>
                <w:szCs w:val="26"/>
                <w:lang w:val="ro-MD"/>
              </w:rPr>
              <w:t>1. Denumirea autorului și, după caz, a participanților la elaborarea proiectului</w:t>
            </w:r>
          </w:p>
        </w:tc>
      </w:tr>
      <w:tr w:rsidR="00C442EC" w:rsidRPr="00C442EC" w14:paraId="3CEFC0F2" w14:textId="77777777" w:rsidTr="009779A6">
        <w:tc>
          <w:tcPr>
            <w:tcW w:w="9209" w:type="dxa"/>
          </w:tcPr>
          <w:p w14:paraId="31EBC4F5" w14:textId="77777777" w:rsidR="00EC3DC0" w:rsidRPr="00C442EC" w:rsidRDefault="00EC3DC0" w:rsidP="009779A6">
            <w:pPr>
              <w:jc w:val="both"/>
              <w:rPr>
                <w:rFonts w:ascii="Times New Roman" w:eastAsia="Calibri" w:hAnsi="Times New Roman" w:cs="Times New Roman"/>
                <w:sz w:val="26"/>
                <w:szCs w:val="26"/>
              </w:rPr>
            </w:pPr>
            <w:r w:rsidRPr="00C442EC">
              <w:rPr>
                <w:rFonts w:ascii="Times New Roman" w:eastAsia="Calibri" w:hAnsi="Times New Roman" w:cs="Times New Roman"/>
                <w:sz w:val="26"/>
                <w:szCs w:val="26"/>
              </w:rPr>
              <w:t>Ministerul Agriculturii și Industriei Alimentare</w:t>
            </w:r>
          </w:p>
        </w:tc>
      </w:tr>
      <w:tr w:rsidR="00C442EC" w:rsidRPr="00C442EC" w14:paraId="61441027" w14:textId="77777777" w:rsidTr="009779A6">
        <w:tc>
          <w:tcPr>
            <w:tcW w:w="9209" w:type="dxa"/>
          </w:tcPr>
          <w:p w14:paraId="54C9EADD" w14:textId="77777777" w:rsidR="00EC3DC0" w:rsidRPr="00C442EC" w:rsidRDefault="00EC3DC0" w:rsidP="009779A6">
            <w:pPr>
              <w:numPr>
                <w:ilvl w:val="0"/>
                <w:numId w:val="1"/>
              </w:numPr>
              <w:ind w:left="317" w:hanging="283"/>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Condițiile ce au impus elaborarea proiectului de act normativ și finalitățile urmărite</w:t>
            </w:r>
          </w:p>
        </w:tc>
      </w:tr>
      <w:tr w:rsidR="00C442EC" w:rsidRPr="00C442EC" w14:paraId="2D7052FA" w14:textId="77777777" w:rsidTr="009779A6">
        <w:tc>
          <w:tcPr>
            <w:tcW w:w="9209" w:type="dxa"/>
          </w:tcPr>
          <w:p w14:paraId="03C7B36B" w14:textId="5AE70376" w:rsidR="00BF6712" w:rsidRDefault="004C16A4"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Înregistrarea soiurilor de plante de câmp reprezintă un proces complex prin care se ordonează procedurile tehnologice determinate. Ordonarea procedurilor sunt stabilite și determinate în mod metodologic în scopul reglementării lor conform principiilor de realizare. Procedurile, modul de abordare a acestora și complexitatea lor sunt dimensionate în timp și în funcție de specii și soi. Reglementarea acestor prevederi sunt transmise în sarcina Comisiei de Stat pentru Testarea Soiurilor de Plante (în continuare – Comisia de Stat). Comisia de Stat este organul responsabil </w:t>
            </w:r>
            <w:r w:rsidR="00274860">
              <w:rPr>
                <w:rFonts w:ascii="Times New Roman" w:eastAsia="Calibri" w:hAnsi="Times New Roman" w:cs="Times New Roman"/>
                <w:sz w:val="26"/>
                <w:szCs w:val="26"/>
              </w:rPr>
              <w:t>de înfăptuirea politicii de stat în domeniul înregistrării soiurilor noi de plante, inclusiv asigură procedurile de testare în cadrul centrelor sale regionale. Protecția juridică a dreptului de autor pentru soiurile de plante sunt asigurate de către Agenția de Stat pentru Protecția Intelectuală</w:t>
            </w:r>
            <w:r w:rsidR="00FC5980">
              <w:rPr>
                <w:rFonts w:ascii="Times New Roman" w:eastAsia="Calibri" w:hAnsi="Times New Roman" w:cs="Times New Roman"/>
                <w:sz w:val="26"/>
                <w:szCs w:val="26"/>
              </w:rPr>
              <w:t>.</w:t>
            </w:r>
          </w:p>
          <w:p w14:paraId="54DA4B80" w14:textId="3821A03A" w:rsidR="004318D7" w:rsidRDefault="00FC5980"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Toate soiurile de plante noi sunt reflectate în ediția anuală a Catalogului soiurilor de plante și </w:t>
            </w:r>
            <w:r w:rsidRPr="00FC5980">
              <w:rPr>
                <w:rFonts w:ascii="Times New Roman" w:eastAsia="Calibri" w:hAnsi="Times New Roman" w:cs="Times New Roman"/>
                <w:sz w:val="26"/>
                <w:szCs w:val="26"/>
              </w:rPr>
              <w:t>reprezintă o bază de date despre soiurile de plante admise pentru cultivare în sectorul agroalimentar al Republicii Moldova</w:t>
            </w:r>
            <w:r>
              <w:rPr>
                <w:rFonts w:ascii="Times New Roman" w:eastAsia="Calibri" w:hAnsi="Times New Roman" w:cs="Times New Roman"/>
                <w:sz w:val="26"/>
                <w:szCs w:val="26"/>
              </w:rPr>
              <w:t xml:space="preserve">. </w:t>
            </w:r>
            <w:r w:rsidRPr="00FC5980">
              <w:rPr>
                <w:rFonts w:ascii="Times New Roman" w:eastAsia="Calibri" w:hAnsi="Times New Roman" w:cs="Times New Roman"/>
                <w:sz w:val="26"/>
                <w:szCs w:val="26"/>
              </w:rPr>
              <w:t xml:space="preserve">Soiurile </w:t>
            </w:r>
            <w:proofErr w:type="spellStart"/>
            <w:r w:rsidRPr="00FC5980">
              <w:rPr>
                <w:rFonts w:ascii="Times New Roman" w:eastAsia="Calibri" w:hAnsi="Times New Roman" w:cs="Times New Roman"/>
                <w:sz w:val="26"/>
                <w:szCs w:val="26"/>
              </w:rPr>
              <w:t>sînt</w:t>
            </w:r>
            <w:proofErr w:type="spellEnd"/>
            <w:r w:rsidRPr="00FC5980">
              <w:rPr>
                <w:rFonts w:ascii="Times New Roman" w:eastAsia="Calibri" w:hAnsi="Times New Roman" w:cs="Times New Roman"/>
                <w:sz w:val="26"/>
                <w:szCs w:val="26"/>
              </w:rPr>
              <w:t xml:space="preserve"> clasificate pe specii şi </w:t>
            </w:r>
            <w:proofErr w:type="spellStart"/>
            <w:r w:rsidRPr="00FC5980">
              <w:rPr>
                <w:rFonts w:ascii="Times New Roman" w:eastAsia="Calibri" w:hAnsi="Times New Roman" w:cs="Times New Roman"/>
                <w:sz w:val="26"/>
                <w:szCs w:val="26"/>
              </w:rPr>
              <w:t>însoţite</w:t>
            </w:r>
            <w:proofErr w:type="spellEnd"/>
            <w:r w:rsidRPr="00FC5980">
              <w:rPr>
                <w:rFonts w:ascii="Times New Roman" w:eastAsia="Calibri" w:hAnsi="Times New Roman" w:cs="Times New Roman"/>
                <w:sz w:val="26"/>
                <w:szCs w:val="26"/>
              </w:rPr>
              <w:t xml:space="preserve"> de următoarele </w:t>
            </w:r>
            <w:proofErr w:type="spellStart"/>
            <w:r w:rsidRPr="00FC5980">
              <w:rPr>
                <w:rFonts w:ascii="Times New Roman" w:eastAsia="Calibri" w:hAnsi="Times New Roman" w:cs="Times New Roman"/>
                <w:sz w:val="26"/>
                <w:szCs w:val="26"/>
              </w:rPr>
              <w:t>informaţii</w:t>
            </w:r>
            <w:proofErr w:type="spellEnd"/>
            <w:r w:rsidRPr="00FC5980">
              <w:rPr>
                <w:rFonts w:ascii="Times New Roman" w:eastAsia="Calibri" w:hAnsi="Times New Roman" w:cs="Times New Roman"/>
                <w:sz w:val="26"/>
                <w:szCs w:val="26"/>
              </w:rPr>
              <w:t xml:space="preserve"> cifrate în următorii indici: numărul de înregistrare (indicele 1), denumirea soiului (2), numărul </w:t>
            </w:r>
            <w:proofErr w:type="spellStart"/>
            <w:r w:rsidRPr="00FC5980">
              <w:rPr>
                <w:rFonts w:ascii="Times New Roman" w:eastAsia="Calibri" w:hAnsi="Times New Roman" w:cs="Times New Roman"/>
                <w:sz w:val="26"/>
                <w:szCs w:val="26"/>
              </w:rPr>
              <w:t>originatorului</w:t>
            </w:r>
            <w:proofErr w:type="spellEnd"/>
            <w:r w:rsidRPr="00FC5980">
              <w:rPr>
                <w:rFonts w:ascii="Times New Roman" w:eastAsia="Calibri" w:hAnsi="Times New Roman" w:cs="Times New Roman"/>
                <w:sz w:val="26"/>
                <w:szCs w:val="26"/>
              </w:rPr>
              <w:t xml:space="preserve"> (3), numărul </w:t>
            </w:r>
            <w:proofErr w:type="spellStart"/>
            <w:r w:rsidRPr="00FC5980">
              <w:rPr>
                <w:rFonts w:ascii="Times New Roman" w:eastAsia="Calibri" w:hAnsi="Times New Roman" w:cs="Times New Roman"/>
                <w:sz w:val="26"/>
                <w:szCs w:val="26"/>
              </w:rPr>
              <w:t>menţinătorului</w:t>
            </w:r>
            <w:proofErr w:type="spellEnd"/>
            <w:r w:rsidRPr="00FC5980">
              <w:rPr>
                <w:rFonts w:ascii="Times New Roman" w:eastAsia="Calibri" w:hAnsi="Times New Roman" w:cs="Times New Roman"/>
                <w:sz w:val="26"/>
                <w:szCs w:val="26"/>
              </w:rPr>
              <w:t xml:space="preserve"> (4), anul înregistrării (5), anul reînregistrării (6), precum şi caracteristicile morfologice şi de producţie ale soiurilor (7-15) descrise în anexa la Catalog. De asemenea, în anexă </w:t>
            </w:r>
            <w:proofErr w:type="spellStart"/>
            <w:r w:rsidRPr="00FC5980">
              <w:rPr>
                <w:rFonts w:ascii="Times New Roman" w:eastAsia="Calibri" w:hAnsi="Times New Roman" w:cs="Times New Roman"/>
                <w:sz w:val="26"/>
                <w:szCs w:val="26"/>
              </w:rPr>
              <w:t>sînt</w:t>
            </w:r>
            <w:proofErr w:type="spellEnd"/>
            <w:r w:rsidRPr="00FC5980">
              <w:rPr>
                <w:rFonts w:ascii="Times New Roman" w:eastAsia="Calibri" w:hAnsi="Times New Roman" w:cs="Times New Roman"/>
                <w:sz w:val="26"/>
                <w:szCs w:val="26"/>
              </w:rPr>
              <w:t xml:space="preserve"> expuse adresele </w:t>
            </w:r>
            <w:proofErr w:type="spellStart"/>
            <w:r w:rsidRPr="00FC5980">
              <w:rPr>
                <w:rFonts w:ascii="Times New Roman" w:eastAsia="Calibri" w:hAnsi="Times New Roman" w:cs="Times New Roman"/>
                <w:sz w:val="26"/>
                <w:szCs w:val="26"/>
              </w:rPr>
              <w:t>originatorilor</w:t>
            </w:r>
            <w:proofErr w:type="spellEnd"/>
            <w:r w:rsidRPr="00FC5980">
              <w:rPr>
                <w:rFonts w:ascii="Times New Roman" w:eastAsia="Calibri" w:hAnsi="Times New Roman" w:cs="Times New Roman"/>
                <w:sz w:val="26"/>
                <w:szCs w:val="26"/>
              </w:rPr>
              <w:t xml:space="preserve"> şi </w:t>
            </w:r>
            <w:proofErr w:type="spellStart"/>
            <w:r w:rsidRPr="00FC5980">
              <w:rPr>
                <w:rFonts w:ascii="Times New Roman" w:eastAsia="Calibri" w:hAnsi="Times New Roman" w:cs="Times New Roman"/>
                <w:sz w:val="26"/>
                <w:szCs w:val="26"/>
              </w:rPr>
              <w:t>menţinătorilor</w:t>
            </w:r>
            <w:proofErr w:type="spellEnd"/>
            <w:r w:rsidRPr="00FC5980">
              <w:rPr>
                <w:rFonts w:ascii="Times New Roman" w:eastAsia="Calibri" w:hAnsi="Times New Roman" w:cs="Times New Roman"/>
                <w:sz w:val="26"/>
                <w:szCs w:val="26"/>
              </w:rPr>
              <w:t xml:space="preserve"> de soiuri, iar soiurile protejate prin brevet </w:t>
            </w:r>
            <w:proofErr w:type="spellStart"/>
            <w:r w:rsidRPr="00FC5980">
              <w:rPr>
                <w:rFonts w:ascii="Times New Roman" w:eastAsia="Calibri" w:hAnsi="Times New Roman" w:cs="Times New Roman"/>
                <w:sz w:val="26"/>
                <w:szCs w:val="26"/>
              </w:rPr>
              <w:t>conţin</w:t>
            </w:r>
            <w:proofErr w:type="spellEnd"/>
            <w:r w:rsidRPr="00FC5980">
              <w:rPr>
                <w:rFonts w:ascii="Times New Roman" w:eastAsia="Calibri" w:hAnsi="Times New Roman" w:cs="Times New Roman"/>
                <w:sz w:val="26"/>
                <w:szCs w:val="26"/>
              </w:rPr>
              <w:t xml:space="preserve"> la </w:t>
            </w:r>
            <w:proofErr w:type="spellStart"/>
            <w:r w:rsidRPr="00FC5980">
              <w:rPr>
                <w:rFonts w:ascii="Times New Roman" w:eastAsia="Calibri" w:hAnsi="Times New Roman" w:cs="Times New Roman"/>
                <w:sz w:val="26"/>
                <w:szCs w:val="26"/>
              </w:rPr>
              <w:t>sfîrşitul</w:t>
            </w:r>
            <w:proofErr w:type="spellEnd"/>
            <w:r w:rsidRPr="00FC5980">
              <w:rPr>
                <w:rFonts w:ascii="Times New Roman" w:eastAsia="Calibri" w:hAnsi="Times New Roman" w:cs="Times New Roman"/>
                <w:sz w:val="26"/>
                <w:szCs w:val="26"/>
              </w:rPr>
              <w:t xml:space="preserve"> denumirii litera (B).</w:t>
            </w:r>
          </w:p>
          <w:p w14:paraId="6C6E8D17" w14:textId="78A70F04" w:rsidR="00FC5980" w:rsidRDefault="00FC5980"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Exercițiul de integrare europeană, ca fiind unul complex prin abordare și conținut, impune identificarea principiilor de ajustare a sistemelor naționale existente și funcționale la cele europene. Oglindirea sistemelor europene în cadrul normativ național reprezintă prioritatea esențială în asigurarea proceselor de integrare a sistemelor autohtone </w:t>
            </w:r>
            <w:r w:rsidR="003A0B36">
              <w:rPr>
                <w:rFonts w:ascii="Times New Roman" w:eastAsia="Calibri" w:hAnsi="Times New Roman" w:cs="Times New Roman"/>
                <w:sz w:val="26"/>
                <w:szCs w:val="26"/>
              </w:rPr>
              <w:t xml:space="preserve">cu </w:t>
            </w:r>
            <w:r>
              <w:rPr>
                <w:rFonts w:ascii="Times New Roman" w:eastAsia="Calibri" w:hAnsi="Times New Roman" w:cs="Times New Roman"/>
                <w:sz w:val="26"/>
                <w:szCs w:val="26"/>
              </w:rPr>
              <w:t xml:space="preserve">cele comunitare. În acest context, revizuirea Regulamentului </w:t>
            </w:r>
            <w:r w:rsidR="003A0B36" w:rsidRPr="003A0B36">
              <w:rPr>
                <w:rFonts w:ascii="Times New Roman" w:eastAsia="Calibri" w:hAnsi="Times New Roman" w:cs="Times New Roman"/>
                <w:sz w:val="26"/>
                <w:szCs w:val="26"/>
              </w:rPr>
              <w:t>privind testarea şi admiterea soiurilor</w:t>
            </w:r>
            <w:r w:rsidR="00193203">
              <w:rPr>
                <w:rFonts w:ascii="Times New Roman" w:eastAsia="Calibri" w:hAnsi="Times New Roman" w:cs="Times New Roman"/>
                <w:sz w:val="26"/>
                <w:szCs w:val="26"/>
              </w:rPr>
              <w:t xml:space="preserve"> (în continuare – Regulament)</w:t>
            </w:r>
            <w:r w:rsidR="003A0B36" w:rsidRPr="003A0B36">
              <w:rPr>
                <w:rFonts w:ascii="Times New Roman" w:eastAsia="Calibri" w:hAnsi="Times New Roman" w:cs="Times New Roman"/>
                <w:sz w:val="26"/>
                <w:szCs w:val="26"/>
              </w:rPr>
              <w:t xml:space="preserve"> în Catalogul soiurilor de plante </w:t>
            </w:r>
            <w:r w:rsidR="003A0B36">
              <w:rPr>
                <w:rFonts w:ascii="Times New Roman" w:eastAsia="Calibri" w:hAnsi="Times New Roman" w:cs="Times New Roman"/>
                <w:sz w:val="26"/>
                <w:szCs w:val="26"/>
              </w:rPr>
              <w:t>reprezintă este o procedură consecventă a instrumentarului de ajustare în acest sens. Importanța procedurilor de ajustare a acestui document prin prisma armonizării constă în îmbunătățirea instrumentarului prin prisma procedurilor ce țin de funcționarea în format „oglindă” cu cele ale țărilor Uniunii Europene</w:t>
            </w:r>
            <w:r w:rsidR="00211194">
              <w:rPr>
                <w:rFonts w:ascii="Times New Roman" w:eastAsia="Calibri" w:hAnsi="Times New Roman" w:cs="Times New Roman"/>
                <w:sz w:val="26"/>
                <w:szCs w:val="26"/>
              </w:rPr>
              <w:t xml:space="preserve"> (în continuare – UE)</w:t>
            </w:r>
            <w:r w:rsidR="003A0B36">
              <w:rPr>
                <w:rFonts w:ascii="Times New Roman" w:eastAsia="Calibri" w:hAnsi="Times New Roman" w:cs="Times New Roman"/>
                <w:sz w:val="26"/>
                <w:szCs w:val="26"/>
              </w:rPr>
              <w:t>.</w:t>
            </w:r>
            <w:r w:rsidR="0019551C">
              <w:rPr>
                <w:rFonts w:ascii="Times New Roman" w:eastAsia="Calibri" w:hAnsi="Times New Roman" w:cs="Times New Roman"/>
                <w:sz w:val="26"/>
                <w:szCs w:val="26"/>
              </w:rPr>
              <w:t xml:space="preserve"> Elementul important al armonizării reiese din ajustarea și recunoașterea procedurilor și </w:t>
            </w:r>
            <w:r w:rsidR="00193203">
              <w:rPr>
                <w:rFonts w:ascii="Times New Roman" w:eastAsia="Calibri" w:hAnsi="Times New Roman" w:cs="Times New Roman"/>
                <w:sz w:val="26"/>
                <w:szCs w:val="26"/>
              </w:rPr>
              <w:t>acțiunilor admise, realizate și operate în spațiul țărilor membre UE. Aceste prevederi actualmente fac obiectul proceselor de armonizare ale Regulamentului.</w:t>
            </w:r>
          </w:p>
          <w:p w14:paraId="36A4F89C" w14:textId="77777777" w:rsidR="00211194" w:rsidRDefault="00211194"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Operarea modificărilor stabilite vor îmbunătăți în mod direct aspectele aferente procedurilor de testare a soiurilor de plante înscrise în Catalogul comun al soiurilor de plante agricole a UE (în continuare – Catalogul comun). În acest sens reglementarea aduce beneficii agenților economici care urmăresc importul soiurilor de plante înscrise </w:t>
            </w:r>
            <w:r>
              <w:rPr>
                <w:rFonts w:ascii="Times New Roman" w:eastAsia="Calibri" w:hAnsi="Times New Roman" w:cs="Times New Roman"/>
                <w:sz w:val="26"/>
                <w:szCs w:val="26"/>
              </w:rPr>
              <w:lastRenderedPageBreak/>
              <w:t>în Catalogul comun. Acest principiu urmărește îmbunătățirea proceselor de recunoaștere a tuturor soiurilor de plante înregistrate în țările UE ce urmează să fi</w:t>
            </w:r>
            <w:r w:rsidR="00395C7E">
              <w:rPr>
                <w:rFonts w:ascii="Times New Roman" w:eastAsia="Calibri" w:hAnsi="Times New Roman" w:cs="Times New Roman"/>
                <w:sz w:val="26"/>
                <w:szCs w:val="26"/>
              </w:rPr>
              <w:t>e</w:t>
            </w:r>
            <w:r>
              <w:rPr>
                <w:rFonts w:ascii="Times New Roman" w:eastAsia="Calibri" w:hAnsi="Times New Roman" w:cs="Times New Roman"/>
                <w:sz w:val="26"/>
                <w:szCs w:val="26"/>
              </w:rPr>
              <w:t xml:space="preserve"> cultivate de către agenții economici din </w:t>
            </w:r>
            <w:r w:rsidR="00395C7E">
              <w:rPr>
                <w:rFonts w:ascii="Times New Roman" w:eastAsia="Calibri" w:hAnsi="Times New Roman" w:cs="Times New Roman"/>
                <w:sz w:val="26"/>
                <w:szCs w:val="26"/>
              </w:rPr>
              <w:t>R. Moldova</w:t>
            </w:r>
            <w:r>
              <w:rPr>
                <w:rFonts w:ascii="Times New Roman" w:eastAsia="Calibri" w:hAnsi="Times New Roman" w:cs="Times New Roman"/>
                <w:sz w:val="26"/>
                <w:szCs w:val="26"/>
              </w:rPr>
              <w:t xml:space="preserve">. </w:t>
            </w:r>
            <w:r w:rsidR="00395C7E">
              <w:rPr>
                <w:rFonts w:ascii="Times New Roman" w:eastAsia="Calibri" w:hAnsi="Times New Roman" w:cs="Times New Roman"/>
                <w:sz w:val="26"/>
                <w:szCs w:val="26"/>
              </w:rPr>
              <w:t>Îmbunătățirea proceselor de recunoaștere, în mod clar vor reduce din costurile suportate și termenii de admitere de către agenții economici.</w:t>
            </w:r>
          </w:p>
          <w:p w14:paraId="5990C643" w14:textId="6F0DC807" w:rsidR="00395C7E" w:rsidRDefault="00395C7E"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Generalizând argumentele menționate supra menționăm că, recunoașterea normelor aplicate la nivelul țărilor UE aferent soiurilor de plante agricole înregistrate în Catalogul comun </w:t>
            </w:r>
            <w:r w:rsidR="00564278">
              <w:rPr>
                <w:rFonts w:ascii="Times New Roman" w:eastAsia="Calibri" w:hAnsi="Times New Roman" w:cs="Times New Roman"/>
                <w:sz w:val="26"/>
                <w:szCs w:val="26"/>
              </w:rPr>
              <w:t xml:space="preserve">al UE </w:t>
            </w:r>
            <w:r>
              <w:rPr>
                <w:rFonts w:ascii="Times New Roman" w:eastAsia="Calibri" w:hAnsi="Times New Roman" w:cs="Times New Roman"/>
                <w:sz w:val="26"/>
                <w:szCs w:val="26"/>
              </w:rPr>
              <w:t>va îmbunătăți gradul de acces a fermierilor autohtoni la resursele de specii, soiuri și varietăți de plante agricole și va avea drept impact diversificarea soiurilor de plante cultivate de către fermierii autohtoni în termeni reduși.</w:t>
            </w:r>
          </w:p>
          <w:p w14:paraId="1924708E" w14:textId="77777777" w:rsidR="00B60996" w:rsidRDefault="00B60996"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Deși HG nr.43/2013 a fost transpus parțial la prevederile Directivei </w:t>
            </w:r>
            <w:r w:rsidRPr="00B60996">
              <w:rPr>
                <w:rFonts w:ascii="Times New Roman" w:eastAsia="Calibri" w:hAnsi="Times New Roman" w:cs="Times New Roman"/>
                <w:sz w:val="26"/>
                <w:szCs w:val="26"/>
              </w:rPr>
              <w:t xml:space="preserve">2002/53/CE a Consiliului </w:t>
            </w:r>
            <w:r>
              <w:rPr>
                <w:rFonts w:ascii="Times New Roman" w:eastAsia="Calibri" w:hAnsi="Times New Roman" w:cs="Times New Roman"/>
                <w:sz w:val="26"/>
                <w:szCs w:val="26"/>
              </w:rPr>
              <w:t xml:space="preserve">European </w:t>
            </w:r>
            <w:r w:rsidRPr="00B60996">
              <w:rPr>
                <w:rFonts w:ascii="Times New Roman" w:eastAsia="Calibri" w:hAnsi="Times New Roman" w:cs="Times New Roman"/>
                <w:sz w:val="26"/>
                <w:szCs w:val="26"/>
              </w:rPr>
              <w:t>privind Catalogul comun al soiurilor de plante agricole</w:t>
            </w:r>
            <w:r w:rsidR="00A74890">
              <w:rPr>
                <w:rFonts w:ascii="Times New Roman" w:eastAsia="Calibri" w:hAnsi="Times New Roman" w:cs="Times New Roman"/>
                <w:sz w:val="26"/>
                <w:szCs w:val="26"/>
              </w:rPr>
              <w:t>, fiind omise</w:t>
            </w:r>
            <w:r>
              <w:rPr>
                <w:rFonts w:ascii="Times New Roman" w:eastAsia="Calibri" w:hAnsi="Times New Roman" w:cs="Times New Roman"/>
                <w:sz w:val="26"/>
                <w:szCs w:val="26"/>
              </w:rPr>
              <w:t xml:space="preserve"> modificările ce țin de </w:t>
            </w:r>
            <w:r w:rsidR="00A74890">
              <w:rPr>
                <w:rFonts w:ascii="Times New Roman" w:eastAsia="Calibri" w:hAnsi="Times New Roman" w:cs="Times New Roman"/>
                <w:sz w:val="26"/>
                <w:szCs w:val="26"/>
              </w:rPr>
              <w:t>elementele descrise în aliniatele de mai sus.</w:t>
            </w:r>
          </w:p>
          <w:p w14:paraId="1F3ACA51" w14:textId="6069C65F" w:rsidR="00564278" w:rsidRPr="00FC5980" w:rsidRDefault="00564278" w:rsidP="00FC5980">
            <w:pPr>
              <w:ind w:firstLine="57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 alt aspect din care reiese necesitatea modificărilor prezentului act se referă la </w:t>
            </w:r>
            <w:r w:rsidR="006546A8">
              <w:rPr>
                <w:rFonts w:ascii="Times New Roman" w:eastAsia="Calibri" w:hAnsi="Times New Roman" w:cs="Times New Roman"/>
                <w:sz w:val="26"/>
                <w:szCs w:val="26"/>
              </w:rPr>
              <w:t xml:space="preserve">modificările Legii nr.68/2013 cu privire la semințe. </w:t>
            </w:r>
            <w:r w:rsidR="006546A8" w:rsidRPr="006546A8">
              <w:rPr>
                <w:rFonts w:ascii="Times New Roman" w:eastAsia="Calibri" w:hAnsi="Times New Roman" w:cs="Times New Roman"/>
                <w:bCs/>
                <w:sz w:val="26"/>
                <w:szCs w:val="26"/>
              </w:rPr>
              <w:t>Prezenta Lege transpune parțial (transpune art. 4) din Decizia Consiliului 2005/834/CE din 8 noiembrie 2005 privind echivalența controalelor selecțiilor conservative realizate în anumite țări terțe și de modificare a Deciziei 2003/17/CE, CELEX: 32005D0834, publicată în Jurnalul Oficial al Uniunii Europene seria L 312 din 29 noiembrie 2005, așa cum a fost modificată ultima dată prin Decizia (UE) 2021/537 a Parlamentului European și a Consiliului din 24 martie 2021</w:t>
            </w:r>
            <w:r w:rsidR="006546A8">
              <w:rPr>
                <w:rFonts w:ascii="Times New Roman" w:eastAsia="Calibri" w:hAnsi="Times New Roman" w:cs="Times New Roman"/>
                <w:bCs/>
                <w:sz w:val="26"/>
                <w:szCs w:val="26"/>
              </w:rPr>
              <w:t>.</w:t>
            </w:r>
          </w:p>
        </w:tc>
      </w:tr>
      <w:tr w:rsidR="00C442EC" w:rsidRPr="00C442EC" w14:paraId="3C04B732" w14:textId="77777777" w:rsidTr="009779A6">
        <w:tc>
          <w:tcPr>
            <w:tcW w:w="9209" w:type="dxa"/>
          </w:tcPr>
          <w:p w14:paraId="492C1A96" w14:textId="77777777" w:rsidR="00EC3DC0" w:rsidRPr="00C442EC" w:rsidRDefault="00EC3DC0" w:rsidP="009779A6">
            <w:pPr>
              <w:numPr>
                <w:ilvl w:val="0"/>
                <w:numId w:val="1"/>
              </w:numPr>
              <w:ind w:left="176" w:firstLine="0"/>
              <w:contextualSpacing/>
              <w:jc w:val="both"/>
              <w:rPr>
                <w:rFonts w:ascii="Times New Roman" w:eastAsia="Calibri" w:hAnsi="Times New Roman" w:cs="Times New Roman"/>
                <w:sz w:val="26"/>
                <w:szCs w:val="26"/>
              </w:rPr>
            </w:pPr>
            <w:r w:rsidRPr="00C442EC">
              <w:rPr>
                <w:rFonts w:ascii="Times New Roman" w:eastAsia="Calibri" w:hAnsi="Times New Roman" w:cs="Times New Roman"/>
                <w:b/>
                <w:sz w:val="26"/>
                <w:szCs w:val="26"/>
              </w:rPr>
              <w:lastRenderedPageBreak/>
              <w:t>Descrierea gradului de compatibilitate pentru proiectele care au ca scop armonizarea legislației naționale cu legislația Uniunii Europene</w:t>
            </w:r>
          </w:p>
        </w:tc>
      </w:tr>
      <w:tr w:rsidR="00C442EC" w:rsidRPr="00C442EC" w14:paraId="1ADC78B3" w14:textId="77777777" w:rsidTr="009779A6">
        <w:tc>
          <w:tcPr>
            <w:tcW w:w="9209" w:type="dxa"/>
          </w:tcPr>
          <w:p w14:paraId="1BF4D6AD" w14:textId="6D65E521" w:rsidR="00EC3DC0" w:rsidRPr="00C442EC" w:rsidRDefault="00C47BD5" w:rsidP="00C47BD5">
            <w:pPr>
              <w:ind w:firstLine="576"/>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Proiectul de hotărâre are drept scop transpunerea prevederilor legislației naționale </w:t>
            </w:r>
            <w:r w:rsidR="00564278">
              <w:rPr>
                <w:rFonts w:ascii="Times New Roman" w:eastAsia="Calibri" w:hAnsi="Times New Roman" w:cs="Times New Roman"/>
                <w:sz w:val="26"/>
                <w:szCs w:val="26"/>
              </w:rPr>
              <w:t xml:space="preserve">conform celor din </w:t>
            </w:r>
            <w:r>
              <w:rPr>
                <w:rFonts w:ascii="Times New Roman" w:eastAsia="Calibri" w:hAnsi="Times New Roman" w:cs="Times New Roman"/>
                <w:sz w:val="26"/>
                <w:szCs w:val="26"/>
              </w:rPr>
              <w:t xml:space="preserve">Directiva 2002/53/CE a Consiliului European </w:t>
            </w:r>
            <w:r w:rsidRPr="00B60996">
              <w:rPr>
                <w:rFonts w:ascii="Times New Roman" w:eastAsia="Calibri" w:hAnsi="Times New Roman" w:cs="Times New Roman"/>
                <w:sz w:val="26"/>
                <w:szCs w:val="26"/>
              </w:rPr>
              <w:t xml:space="preserve">privind Catalogul comun al soiurilor de plante agricole </w:t>
            </w:r>
            <w:r w:rsidRPr="003E3D72">
              <w:rPr>
                <w:rFonts w:ascii="Times New Roman" w:eastAsia="Calibri" w:hAnsi="Times New Roman" w:cs="Times New Roman"/>
                <w:sz w:val="26"/>
                <w:szCs w:val="26"/>
              </w:rPr>
              <w:t>care nu a fost transpusă în actul normativ sus menționat</w:t>
            </w:r>
            <w:r>
              <w:rPr>
                <w:rFonts w:ascii="Times New Roman" w:eastAsia="Calibri" w:hAnsi="Times New Roman" w:cs="Times New Roman"/>
                <w:sz w:val="26"/>
                <w:szCs w:val="26"/>
              </w:rPr>
              <w:t xml:space="preserve">, </w:t>
            </w:r>
            <w:r w:rsidR="00A74890">
              <w:rPr>
                <w:rFonts w:ascii="Times New Roman" w:eastAsia="Calibri" w:hAnsi="Times New Roman" w:cs="Times New Roman"/>
                <w:sz w:val="26"/>
                <w:szCs w:val="26"/>
              </w:rPr>
              <w:t>art</w:t>
            </w:r>
            <w:r w:rsidR="00B60996">
              <w:rPr>
                <w:rFonts w:ascii="Times New Roman" w:eastAsia="Calibri" w:hAnsi="Times New Roman" w:cs="Times New Roman"/>
                <w:sz w:val="26"/>
                <w:szCs w:val="26"/>
              </w:rPr>
              <w:t>.</w:t>
            </w:r>
            <w:r w:rsidR="00A74890">
              <w:rPr>
                <w:rFonts w:ascii="Times New Roman" w:eastAsia="Calibri" w:hAnsi="Times New Roman" w:cs="Times New Roman"/>
                <w:sz w:val="26"/>
                <w:szCs w:val="26"/>
              </w:rPr>
              <w:t>3</w:t>
            </w:r>
            <w:r w:rsidR="00B60996">
              <w:rPr>
                <w:rFonts w:ascii="Times New Roman" w:eastAsia="Calibri" w:hAnsi="Times New Roman" w:cs="Times New Roman"/>
                <w:sz w:val="26"/>
                <w:szCs w:val="26"/>
              </w:rPr>
              <w:t xml:space="preserve"> </w:t>
            </w:r>
            <w:r w:rsidR="00A74890">
              <w:rPr>
                <w:rFonts w:ascii="Times New Roman" w:eastAsia="Calibri" w:hAnsi="Times New Roman" w:cs="Times New Roman"/>
                <w:sz w:val="26"/>
                <w:szCs w:val="26"/>
              </w:rPr>
              <w:t>pct.</w:t>
            </w:r>
            <w:r w:rsidR="00B60996">
              <w:rPr>
                <w:rFonts w:ascii="Times New Roman" w:eastAsia="Calibri" w:hAnsi="Times New Roman" w:cs="Times New Roman"/>
                <w:sz w:val="26"/>
                <w:szCs w:val="26"/>
              </w:rPr>
              <w:t xml:space="preserve">1 și </w:t>
            </w:r>
            <w:r w:rsidR="00A74890">
              <w:rPr>
                <w:rFonts w:ascii="Times New Roman" w:eastAsia="Calibri" w:hAnsi="Times New Roman" w:cs="Times New Roman"/>
                <w:sz w:val="26"/>
                <w:szCs w:val="26"/>
              </w:rPr>
              <w:t>pct.</w:t>
            </w:r>
            <w:r w:rsidR="00B60996">
              <w:rPr>
                <w:rFonts w:ascii="Times New Roman" w:eastAsia="Calibri" w:hAnsi="Times New Roman" w:cs="Times New Roman"/>
                <w:sz w:val="26"/>
                <w:szCs w:val="26"/>
              </w:rPr>
              <w:t>2</w:t>
            </w:r>
            <w:r w:rsidR="00A74890">
              <w:rPr>
                <w:rFonts w:ascii="Times New Roman" w:eastAsia="Calibri" w:hAnsi="Times New Roman" w:cs="Times New Roman"/>
                <w:sz w:val="26"/>
                <w:szCs w:val="26"/>
              </w:rPr>
              <w:t>, art.4 pct.1 și altele</w:t>
            </w:r>
            <w:r w:rsidR="003E3D72" w:rsidRPr="003E3D72">
              <w:rPr>
                <w:rFonts w:ascii="Times New Roman" w:eastAsia="Calibri" w:hAnsi="Times New Roman" w:cs="Times New Roman"/>
                <w:sz w:val="26"/>
                <w:szCs w:val="26"/>
              </w:rPr>
              <w:t>.</w:t>
            </w:r>
          </w:p>
        </w:tc>
      </w:tr>
      <w:tr w:rsidR="00C442EC" w:rsidRPr="00C442EC" w14:paraId="3E3C7C8E" w14:textId="77777777" w:rsidTr="009779A6">
        <w:tc>
          <w:tcPr>
            <w:tcW w:w="9209" w:type="dxa"/>
          </w:tcPr>
          <w:p w14:paraId="170F3A4E" w14:textId="77777777" w:rsidR="00EC3DC0" w:rsidRPr="00C442EC" w:rsidRDefault="00EC3DC0" w:rsidP="009779A6">
            <w:pPr>
              <w:numPr>
                <w:ilvl w:val="0"/>
                <w:numId w:val="1"/>
              </w:numPr>
              <w:ind w:left="34" w:firstLine="142"/>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Principalele prevederi ale proiectului și evidențierea elementelor noi</w:t>
            </w:r>
          </w:p>
        </w:tc>
      </w:tr>
      <w:tr w:rsidR="00C442EC" w:rsidRPr="00C442EC" w14:paraId="39A2E4B8" w14:textId="77777777" w:rsidTr="009779A6">
        <w:tc>
          <w:tcPr>
            <w:tcW w:w="9209" w:type="dxa"/>
          </w:tcPr>
          <w:p w14:paraId="20BED192" w14:textId="77777777" w:rsidR="00321291" w:rsidRDefault="00321291" w:rsidP="00E906E6">
            <w:pPr>
              <w:ind w:left="-96" w:firstLine="567"/>
              <w:jc w:val="both"/>
              <w:rPr>
                <w:rFonts w:ascii="Times New Roman" w:eastAsia="Calibri" w:hAnsi="Times New Roman" w:cs="Times New Roman"/>
                <w:bCs/>
                <w:sz w:val="26"/>
                <w:szCs w:val="26"/>
              </w:rPr>
            </w:pPr>
            <w:r w:rsidRPr="00321291">
              <w:rPr>
                <w:rFonts w:ascii="Times New Roman" w:eastAsia="Calibri" w:hAnsi="Times New Roman" w:cs="Times New Roman"/>
                <w:sz w:val="26"/>
                <w:szCs w:val="26"/>
              </w:rPr>
              <w:t>Proiectul transpune parțial Directivei 2002/53/CE a Consiliului European privind Catalogul comun al soiurilor de plante agricole</w:t>
            </w:r>
            <w:r>
              <w:rPr>
                <w:rFonts w:ascii="Times New Roman" w:eastAsia="Calibri" w:hAnsi="Times New Roman" w:cs="Times New Roman"/>
                <w:sz w:val="26"/>
                <w:szCs w:val="26"/>
              </w:rPr>
              <w:t>, dar și unele prevederi specifice naționale</w:t>
            </w:r>
            <w:r w:rsidRPr="00321291">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321291">
              <w:rPr>
                <w:rFonts w:ascii="Times New Roman" w:eastAsia="Calibri" w:hAnsi="Times New Roman" w:cs="Times New Roman"/>
                <w:bCs/>
                <w:sz w:val="26"/>
                <w:szCs w:val="26"/>
              </w:rPr>
              <w:t xml:space="preserve">Transpunerea asigură recunoașterea </w:t>
            </w:r>
            <w:r>
              <w:rPr>
                <w:rFonts w:ascii="Times New Roman" w:eastAsia="Calibri" w:hAnsi="Times New Roman" w:cs="Times New Roman"/>
                <w:bCs/>
                <w:sz w:val="26"/>
                <w:szCs w:val="26"/>
              </w:rPr>
              <w:t xml:space="preserve">și accesul fermierilor autohtoni </w:t>
            </w:r>
            <w:r w:rsidRPr="00321291">
              <w:rPr>
                <w:rFonts w:ascii="Times New Roman" w:eastAsia="Calibri" w:hAnsi="Times New Roman" w:cs="Times New Roman"/>
                <w:bCs/>
                <w:sz w:val="26"/>
                <w:szCs w:val="26"/>
              </w:rPr>
              <w:t>la resursele de specii, soiuri și varietăți de plante agricole</w:t>
            </w:r>
            <w:r>
              <w:rPr>
                <w:rFonts w:ascii="Times New Roman" w:eastAsia="Calibri" w:hAnsi="Times New Roman" w:cs="Times New Roman"/>
                <w:bCs/>
                <w:sz w:val="26"/>
                <w:szCs w:val="26"/>
              </w:rPr>
              <w:t xml:space="preserve"> înscrise în Catalogul comun. Alte prevederi aferente procesului de transpunere sunt:</w:t>
            </w:r>
          </w:p>
          <w:p w14:paraId="292FA7A2" w14:textId="4FFA0B15" w:rsidR="00321291" w:rsidRPr="00321291" w:rsidRDefault="00321291" w:rsidP="00E906E6">
            <w:pPr>
              <w:pStyle w:val="Listparagraf"/>
              <w:numPr>
                <w:ilvl w:val="0"/>
                <w:numId w:val="4"/>
              </w:numPr>
              <w:ind w:left="-96" w:firstLine="567"/>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 xml:space="preserve">Pct. 6 se completează cu pct. </w:t>
            </w:r>
            <w:r w:rsidRPr="006546A8">
              <w:rPr>
                <w:rFonts w:ascii="Times New Roman" w:eastAsia="Calibri" w:hAnsi="Times New Roman" w:cs="Times New Roman"/>
                <w:bCs/>
                <w:sz w:val="26"/>
                <w:szCs w:val="26"/>
              </w:rPr>
              <w:t>61</w:t>
            </w:r>
            <w:r w:rsidR="006546A8">
              <w:rPr>
                <w:rFonts w:ascii="Times New Roman" w:eastAsia="Calibri" w:hAnsi="Times New Roman" w:cs="Times New Roman"/>
                <w:bCs/>
                <w:sz w:val="26"/>
                <w:szCs w:val="26"/>
              </w:rPr>
              <w:t xml:space="preserve">, </w:t>
            </w:r>
            <w:r w:rsidR="006546A8" w:rsidRPr="006546A8">
              <w:rPr>
                <w:rFonts w:ascii="Times New Roman" w:eastAsia="Calibri" w:hAnsi="Times New Roman" w:cs="Times New Roman"/>
                <w:bCs/>
                <w:sz w:val="26"/>
                <w:szCs w:val="26"/>
              </w:rPr>
              <w:t>6</w:t>
            </w:r>
            <w:r w:rsidR="006546A8">
              <w:rPr>
                <w:rFonts w:ascii="Times New Roman" w:eastAsia="Calibri" w:hAnsi="Times New Roman" w:cs="Times New Roman"/>
                <w:bCs/>
                <w:sz w:val="26"/>
                <w:szCs w:val="26"/>
                <w:vertAlign w:val="superscript"/>
              </w:rPr>
              <w:t>2</w:t>
            </w:r>
            <w:r w:rsidR="006546A8">
              <w:rPr>
                <w:rFonts w:ascii="Times New Roman" w:eastAsia="Calibri" w:hAnsi="Times New Roman" w:cs="Times New Roman"/>
                <w:bCs/>
                <w:sz w:val="26"/>
                <w:szCs w:val="26"/>
              </w:rPr>
              <w:t>, 6</w:t>
            </w:r>
            <w:r w:rsidR="006546A8" w:rsidRPr="006546A8">
              <w:rPr>
                <w:rFonts w:ascii="Times New Roman" w:eastAsia="Calibri" w:hAnsi="Times New Roman" w:cs="Times New Roman"/>
                <w:bCs/>
                <w:sz w:val="26"/>
                <w:szCs w:val="26"/>
                <w:vertAlign w:val="superscript"/>
              </w:rPr>
              <w:t>3</w:t>
            </w:r>
            <w:r w:rsidR="006546A8">
              <w:rPr>
                <w:rFonts w:ascii="Times New Roman" w:eastAsia="Calibri" w:hAnsi="Times New Roman" w:cs="Times New Roman"/>
                <w:bCs/>
                <w:sz w:val="26"/>
                <w:szCs w:val="26"/>
              </w:rPr>
              <w:t xml:space="preserve"> </w:t>
            </w:r>
            <w:r w:rsidR="006546A8" w:rsidRPr="006546A8">
              <w:rPr>
                <w:rFonts w:ascii="Times New Roman" w:eastAsia="Calibri" w:hAnsi="Times New Roman" w:cs="Times New Roman"/>
                <w:bCs/>
                <w:sz w:val="26"/>
                <w:szCs w:val="26"/>
              </w:rPr>
              <w:t>și 6</w:t>
            </w:r>
            <w:r w:rsidR="006546A8">
              <w:rPr>
                <w:rFonts w:ascii="Times New Roman" w:eastAsia="Calibri" w:hAnsi="Times New Roman" w:cs="Times New Roman"/>
                <w:bCs/>
                <w:sz w:val="26"/>
                <w:szCs w:val="26"/>
                <w:vertAlign w:val="superscript"/>
              </w:rPr>
              <w:t>4</w:t>
            </w:r>
            <w:r w:rsidRPr="00321291">
              <w:rPr>
                <w:rFonts w:ascii="Times New Roman" w:eastAsia="Calibri" w:hAnsi="Times New Roman" w:cs="Times New Roman"/>
                <w:bCs/>
                <w:sz w:val="26"/>
                <w:szCs w:val="26"/>
              </w:rPr>
              <w:t>, cu următorul cuprins:</w:t>
            </w:r>
          </w:p>
          <w:p w14:paraId="2EB7EFD3" w14:textId="69697440" w:rsidR="00321291" w:rsidRPr="002F6ADF" w:rsidRDefault="00321291" w:rsidP="00E906E6">
            <w:pPr>
              <w:ind w:left="-96" w:firstLine="567"/>
              <w:jc w:val="both"/>
              <w:rPr>
                <w:rFonts w:ascii="Times New Roman" w:eastAsia="Calibri" w:hAnsi="Times New Roman" w:cs="Times New Roman"/>
                <w:bCs/>
                <w:sz w:val="26"/>
                <w:szCs w:val="26"/>
                <w:highlight w:val="yellow"/>
              </w:rPr>
            </w:pPr>
            <w:r w:rsidRPr="002F6ADF">
              <w:rPr>
                <w:rFonts w:ascii="Times New Roman" w:eastAsia="Calibri" w:hAnsi="Times New Roman" w:cs="Times New Roman"/>
                <w:bCs/>
                <w:sz w:val="26"/>
                <w:szCs w:val="26"/>
                <w:highlight w:val="yellow"/>
              </w:rPr>
              <w:t>„6</w:t>
            </w:r>
            <w:r w:rsidRPr="002F6ADF">
              <w:rPr>
                <w:rFonts w:ascii="Times New Roman" w:eastAsia="Calibri" w:hAnsi="Times New Roman" w:cs="Times New Roman"/>
                <w:bCs/>
                <w:sz w:val="26"/>
                <w:szCs w:val="26"/>
                <w:highlight w:val="yellow"/>
                <w:vertAlign w:val="superscript"/>
              </w:rPr>
              <w:t>1</w:t>
            </w:r>
            <w:r w:rsidRPr="002F6ADF">
              <w:rPr>
                <w:rFonts w:ascii="Times New Roman" w:eastAsia="Calibri" w:hAnsi="Times New Roman" w:cs="Times New Roman"/>
                <w:bCs/>
                <w:sz w:val="26"/>
                <w:szCs w:val="26"/>
                <w:highlight w:val="yellow"/>
              </w:rPr>
              <w:t>. Un soi este distinct în cazul în care, indiferent de originea, artificială sau naturală, a variației inițiale care i-a dat naștere, acesta se diferențiază clar, prin unul sau mai multe caractere importante, de orice alt soi cunoscut;</w:t>
            </w:r>
          </w:p>
          <w:p w14:paraId="25B58900" w14:textId="14BB1D8D" w:rsidR="006546A8" w:rsidRDefault="006546A8" w:rsidP="00E906E6">
            <w:pPr>
              <w:ind w:left="-96" w:firstLine="567"/>
              <w:jc w:val="both"/>
              <w:rPr>
                <w:rFonts w:ascii="Times New Roman" w:eastAsia="Calibri" w:hAnsi="Times New Roman" w:cs="Times New Roman"/>
                <w:bCs/>
                <w:sz w:val="26"/>
                <w:szCs w:val="26"/>
                <w:highlight w:val="yellow"/>
              </w:rPr>
            </w:pPr>
            <w:r w:rsidRPr="006546A8">
              <w:rPr>
                <w:rFonts w:ascii="Times New Roman" w:eastAsia="Calibri" w:hAnsi="Times New Roman" w:cs="Times New Roman"/>
                <w:bCs/>
                <w:sz w:val="26"/>
                <w:szCs w:val="26"/>
              </w:rPr>
              <w:t>6</w:t>
            </w:r>
            <w:r w:rsidRPr="006546A8">
              <w:rPr>
                <w:rFonts w:ascii="Times New Roman" w:eastAsia="Calibri" w:hAnsi="Times New Roman" w:cs="Times New Roman"/>
                <w:bCs/>
                <w:sz w:val="26"/>
                <w:szCs w:val="26"/>
                <w:vertAlign w:val="superscript"/>
              </w:rPr>
              <w:t>2</w:t>
            </w:r>
            <w:r w:rsidRPr="006546A8">
              <w:rPr>
                <w:rFonts w:ascii="Times New Roman" w:eastAsia="Calibri" w:hAnsi="Times New Roman" w:cs="Times New Roman"/>
                <w:bCs/>
                <w:sz w:val="26"/>
                <w:szCs w:val="26"/>
              </w:rPr>
              <w:t>. Un soi este stabil în cazul în care în urma unor reproduceri sau înmulțiri succesive sau la sfârșitul fiecărui ciclu, în cazul în care amelioratorul a definit un ciclu special de reproduceri sau înmulțiri, acesta corespunde în continuare definiției caracterelor sale esențiale;</w:t>
            </w:r>
          </w:p>
          <w:p w14:paraId="3593C6CF" w14:textId="6BD800A4" w:rsidR="00321291" w:rsidRPr="00321291" w:rsidRDefault="00321291" w:rsidP="00E906E6">
            <w:pPr>
              <w:ind w:left="-96" w:firstLine="567"/>
              <w:jc w:val="both"/>
              <w:rPr>
                <w:rFonts w:ascii="Times New Roman" w:eastAsia="Calibri" w:hAnsi="Times New Roman" w:cs="Times New Roman"/>
                <w:bCs/>
                <w:sz w:val="26"/>
                <w:szCs w:val="26"/>
              </w:rPr>
            </w:pPr>
            <w:r w:rsidRPr="006546A8">
              <w:rPr>
                <w:rFonts w:ascii="Times New Roman" w:eastAsia="Calibri" w:hAnsi="Times New Roman" w:cs="Times New Roman"/>
                <w:bCs/>
                <w:sz w:val="26"/>
                <w:szCs w:val="26"/>
              </w:rPr>
              <w:t>6</w:t>
            </w:r>
            <w:r w:rsidRPr="006546A8">
              <w:rPr>
                <w:rFonts w:ascii="Times New Roman" w:eastAsia="Calibri" w:hAnsi="Times New Roman" w:cs="Times New Roman"/>
                <w:bCs/>
                <w:sz w:val="26"/>
                <w:szCs w:val="26"/>
                <w:vertAlign w:val="superscript"/>
              </w:rPr>
              <w:t>3</w:t>
            </w:r>
            <w:r w:rsidRPr="006546A8">
              <w:rPr>
                <w:rFonts w:ascii="Times New Roman" w:eastAsia="Calibri" w:hAnsi="Times New Roman" w:cs="Times New Roman"/>
                <w:bCs/>
                <w:sz w:val="26"/>
                <w:szCs w:val="26"/>
              </w:rPr>
              <w:t>. Un soi este suficient de omogen în cazul în care plantele care îl compun – cu excepția anomaliilor sporadice – sunt, ținând seama de particularitățile sistemului de reproducere a plantelor, asemănătoare sau identice din punct de vedere genetic în ansamblul caracterelor generale luate în considerare;</w:t>
            </w:r>
          </w:p>
          <w:p w14:paraId="62274079" w14:textId="46880942" w:rsidR="00321291" w:rsidRPr="00321291" w:rsidRDefault="00321291" w:rsidP="00E906E6">
            <w:pPr>
              <w:ind w:left="-96" w:firstLine="567"/>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6</w:t>
            </w:r>
            <w:r w:rsidRPr="00321291">
              <w:rPr>
                <w:rFonts w:ascii="Times New Roman" w:eastAsia="Calibri" w:hAnsi="Times New Roman" w:cs="Times New Roman"/>
                <w:bCs/>
                <w:sz w:val="26"/>
                <w:szCs w:val="26"/>
                <w:vertAlign w:val="superscript"/>
              </w:rPr>
              <w:t>4</w:t>
            </w:r>
            <w:r w:rsidRPr="00321291">
              <w:rPr>
                <w:rFonts w:ascii="Times New Roman" w:eastAsia="Calibri" w:hAnsi="Times New Roman" w:cs="Times New Roman"/>
                <w:bCs/>
                <w:sz w:val="26"/>
                <w:szCs w:val="26"/>
              </w:rPr>
              <w:t xml:space="preserve">. Un soi are o valoare culturală sau de utilizare satisfăcătoare în cazul în care, comparativ cu celelalte soiuri admise în catalogul statului membru în cauză, acesta reprezintă, prin ansamblul calităților sale, cel puțin pentru producția într-o anumită </w:t>
            </w:r>
            <w:r w:rsidRPr="00321291">
              <w:rPr>
                <w:rFonts w:ascii="Times New Roman" w:eastAsia="Calibri" w:hAnsi="Times New Roman" w:cs="Times New Roman"/>
                <w:bCs/>
                <w:sz w:val="26"/>
                <w:szCs w:val="26"/>
              </w:rPr>
              <w:lastRenderedPageBreak/>
              <w:t>regiune, o ameliorare clară fie pentru cultură, fie pentru exploatarea recoltelor sau utilizarea produselor obținute din aceste recolte. Calitatea inferioară a unor caracteristici poate fi compensată de alte caracteristici favorabile;”</w:t>
            </w:r>
          </w:p>
          <w:p w14:paraId="16E15B6B" w14:textId="72ECFD93" w:rsidR="00321291" w:rsidRPr="00321291" w:rsidRDefault="00321291" w:rsidP="00E906E6">
            <w:pPr>
              <w:ind w:left="-96" w:firstLine="567"/>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Pct. 7 se completează cu pct. 7</w:t>
            </w:r>
            <w:r w:rsidRPr="00321291">
              <w:rPr>
                <w:rFonts w:ascii="Times New Roman" w:eastAsia="Calibri" w:hAnsi="Times New Roman" w:cs="Times New Roman"/>
                <w:bCs/>
                <w:sz w:val="26"/>
                <w:szCs w:val="26"/>
                <w:vertAlign w:val="superscript"/>
              </w:rPr>
              <w:t>1</w:t>
            </w:r>
            <w:r w:rsidR="006546A8">
              <w:rPr>
                <w:rFonts w:ascii="Times New Roman" w:eastAsia="Calibri" w:hAnsi="Times New Roman" w:cs="Times New Roman"/>
                <w:bCs/>
                <w:sz w:val="26"/>
                <w:szCs w:val="26"/>
              </w:rPr>
              <w:t xml:space="preserve"> și 7</w:t>
            </w:r>
            <w:r w:rsidR="006546A8">
              <w:rPr>
                <w:rFonts w:ascii="Times New Roman" w:eastAsia="Calibri" w:hAnsi="Times New Roman" w:cs="Times New Roman"/>
                <w:bCs/>
                <w:sz w:val="26"/>
                <w:szCs w:val="26"/>
                <w:vertAlign w:val="superscript"/>
              </w:rPr>
              <w:t>2</w:t>
            </w:r>
            <w:r w:rsidRPr="00321291">
              <w:rPr>
                <w:rFonts w:ascii="Times New Roman" w:eastAsia="Calibri" w:hAnsi="Times New Roman" w:cs="Times New Roman"/>
                <w:bCs/>
                <w:sz w:val="26"/>
                <w:szCs w:val="26"/>
              </w:rPr>
              <w:t xml:space="preserve"> cu următorul cuprins: </w:t>
            </w:r>
          </w:p>
          <w:p w14:paraId="78D0761E" w14:textId="08C8EA17" w:rsidR="00321291" w:rsidRPr="00321291" w:rsidRDefault="00321291" w:rsidP="006546A8">
            <w:pPr>
              <w:ind w:left="-96" w:firstLine="567"/>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„7</w:t>
            </w:r>
            <w:r w:rsidRPr="00321291">
              <w:rPr>
                <w:rFonts w:ascii="Times New Roman" w:eastAsia="Calibri" w:hAnsi="Times New Roman" w:cs="Times New Roman"/>
                <w:bCs/>
                <w:sz w:val="26"/>
                <w:szCs w:val="26"/>
                <w:vertAlign w:val="superscript"/>
              </w:rPr>
              <w:t>1</w:t>
            </w:r>
            <w:r w:rsidRPr="00321291">
              <w:rPr>
                <w:rFonts w:ascii="Times New Roman" w:eastAsia="Calibri" w:hAnsi="Times New Roman" w:cs="Times New Roman"/>
                <w:bCs/>
                <w:sz w:val="26"/>
                <w:szCs w:val="26"/>
              </w:rPr>
              <w:t xml:space="preserve">. În cazul în care pentru studiul hibrizilor și al soiurilor sintetice este necesară examinarea componentelor genealogice, Comisia asigură, la cererea amelioratorului, confidențialitatea rezultatelor acestei examinări și a descrierii componentelor genealogice; </w:t>
            </w:r>
          </w:p>
          <w:p w14:paraId="7050456C" w14:textId="1EC9273C" w:rsidR="00321291" w:rsidRPr="00321291" w:rsidRDefault="00321291" w:rsidP="00321291">
            <w:pPr>
              <w:ind w:left="34" w:firstLine="567"/>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7</w:t>
            </w:r>
            <w:r w:rsidRPr="00321291">
              <w:rPr>
                <w:rFonts w:ascii="Times New Roman" w:eastAsia="Calibri" w:hAnsi="Times New Roman" w:cs="Times New Roman"/>
                <w:bCs/>
                <w:sz w:val="26"/>
                <w:szCs w:val="26"/>
                <w:vertAlign w:val="superscript"/>
              </w:rPr>
              <w:t>2</w:t>
            </w:r>
            <w:r w:rsidRPr="00321291">
              <w:rPr>
                <w:rFonts w:ascii="Times New Roman" w:eastAsia="Calibri" w:hAnsi="Times New Roman" w:cs="Times New Roman"/>
                <w:bCs/>
                <w:sz w:val="26"/>
                <w:szCs w:val="26"/>
              </w:rPr>
              <w:t>. În cazul unui soi modificat genetic, se face o evaluare a impactului asupra mediului echivalentă cu cea prevăzută în Directiva 90/220/CEE;”</w:t>
            </w:r>
          </w:p>
          <w:p w14:paraId="5284290F" w14:textId="7C50D281" w:rsidR="00321291" w:rsidRPr="00321291" w:rsidRDefault="00321291" w:rsidP="00321291">
            <w:pPr>
              <w:pStyle w:val="Listparagraf"/>
              <w:numPr>
                <w:ilvl w:val="0"/>
                <w:numId w:val="4"/>
              </w:numPr>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punctul 42 se completează cu pct. 42</w:t>
            </w:r>
            <w:r w:rsidRPr="00321291">
              <w:rPr>
                <w:rFonts w:ascii="Times New Roman" w:eastAsia="Calibri" w:hAnsi="Times New Roman" w:cs="Times New Roman"/>
                <w:bCs/>
                <w:sz w:val="26"/>
                <w:szCs w:val="26"/>
                <w:vertAlign w:val="superscript"/>
              </w:rPr>
              <w:t>1</w:t>
            </w:r>
            <w:r w:rsidRPr="00321291">
              <w:rPr>
                <w:rFonts w:ascii="Times New Roman" w:eastAsia="Calibri" w:hAnsi="Times New Roman" w:cs="Times New Roman"/>
                <w:bCs/>
                <w:sz w:val="26"/>
                <w:szCs w:val="26"/>
              </w:rPr>
              <w:t>, cu următorul cuprins:</w:t>
            </w:r>
          </w:p>
          <w:p w14:paraId="4CAA3AE9" w14:textId="6F58DE3B" w:rsidR="00321291" w:rsidRPr="00321291" w:rsidRDefault="00321291" w:rsidP="00321291">
            <w:pPr>
              <w:ind w:left="34" w:firstLine="567"/>
              <w:jc w:val="both"/>
              <w:rPr>
                <w:rFonts w:ascii="Times New Roman" w:eastAsia="Calibri" w:hAnsi="Times New Roman" w:cs="Times New Roman"/>
                <w:bCs/>
                <w:sz w:val="26"/>
                <w:szCs w:val="26"/>
              </w:rPr>
            </w:pPr>
            <w:r w:rsidRPr="00321291">
              <w:rPr>
                <w:rFonts w:ascii="Times New Roman" w:eastAsia="Calibri" w:hAnsi="Times New Roman" w:cs="Times New Roman"/>
                <w:bCs/>
                <w:sz w:val="26"/>
                <w:szCs w:val="26"/>
              </w:rPr>
              <w:t>„42</w:t>
            </w:r>
            <w:r w:rsidRPr="00321291">
              <w:rPr>
                <w:rFonts w:ascii="Times New Roman" w:eastAsia="Calibri" w:hAnsi="Times New Roman" w:cs="Times New Roman"/>
                <w:bCs/>
                <w:sz w:val="26"/>
                <w:szCs w:val="26"/>
                <w:vertAlign w:val="superscript"/>
              </w:rPr>
              <w:t>1</w:t>
            </w:r>
            <w:r w:rsidRPr="00321291">
              <w:rPr>
                <w:rFonts w:ascii="Times New Roman" w:eastAsia="Calibri" w:hAnsi="Times New Roman" w:cs="Times New Roman"/>
                <w:bCs/>
                <w:sz w:val="26"/>
                <w:szCs w:val="26"/>
              </w:rPr>
              <w:t>. Se dispune ca soiurile admise să fie menținute prin selecție conservativă;”</w:t>
            </w:r>
          </w:p>
        </w:tc>
      </w:tr>
      <w:tr w:rsidR="00C442EC" w:rsidRPr="00C442EC" w14:paraId="19CF1776" w14:textId="77777777" w:rsidTr="009779A6">
        <w:trPr>
          <w:trHeight w:val="426"/>
        </w:trPr>
        <w:tc>
          <w:tcPr>
            <w:tcW w:w="9209" w:type="dxa"/>
            <w:vAlign w:val="center"/>
          </w:tcPr>
          <w:p w14:paraId="392D4C26" w14:textId="77777777" w:rsidR="00EC3DC0" w:rsidRPr="00C442EC" w:rsidRDefault="00EC3DC0" w:rsidP="009779A6">
            <w:pPr>
              <w:numPr>
                <w:ilvl w:val="0"/>
                <w:numId w:val="1"/>
              </w:numPr>
              <w:ind w:left="34" w:firstLine="0"/>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lastRenderedPageBreak/>
              <w:t>Fundamentarea economico-financiară</w:t>
            </w:r>
          </w:p>
        </w:tc>
      </w:tr>
      <w:tr w:rsidR="00C442EC" w:rsidRPr="00C442EC" w14:paraId="32D157B4" w14:textId="77777777" w:rsidTr="00321291">
        <w:trPr>
          <w:trHeight w:val="285"/>
        </w:trPr>
        <w:tc>
          <w:tcPr>
            <w:tcW w:w="9209" w:type="dxa"/>
          </w:tcPr>
          <w:p w14:paraId="4ECD3E06" w14:textId="5A038174" w:rsidR="004318D7" w:rsidRPr="00C442EC" w:rsidRDefault="00321291" w:rsidP="00321291">
            <w:pPr>
              <w:ind w:firstLine="576"/>
              <w:jc w:val="both"/>
              <w:rPr>
                <w:rFonts w:ascii="Times New Roman" w:eastAsia="Calibri" w:hAnsi="Times New Roman" w:cs="Times New Roman"/>
                <w:sz w:val="26"/>
                <w:szCs w:val="26"/>
              </w:rPr>
            </w:pPr>
            <w:r w:rsidRPr="00321291">
              <w:rPr>
                <w:rFonts w:ascii="Times New Roman" w:eastAsia="Calibri" w:hAnsi="Times New Roman" w:cs="Times New Roman"/>
                <w:sz w:val="26"/>
                <w:szCs w:val="26"/>
              </w:rPr>
              <w:t>Proiectul nu necesită surse financiare din Bugetul Național</w:t>
            </w:r>
            <w:r>
              <w:rPr>
                <w:rFonts w:ascii="Times New Roman" w:eastAsia="Calibri" w:hAnsi="Times New Roman" w:cs="Times New Roman"/>
                <w:sz w:val="26"/>
                <w:szCs w:val="26"/>
              </w:rPr>
              <w:t>.</w:t>
            </w:r>
          </w:p>
        </w:tc>
      </w:tr>
      <w:tr w:rsidR="00C442EC" w:rsidRPr="00C442EC" w14:paraId="3C7AD5FF" w14:textId="77777777" w:rsidTr="009779A6">
        <w:trPr>
          <w:trHeight w:val="472"/>
        </w:trPr>
        <w:tc>
          <w:tcPr>
            <w:tcW w:w="9209" w:type="dxa"/>
            <w:vAlign w:val="center"/>
          </w:tcPr>
          <w:p w14:paraId="241E60F8" w14:textId="77777777" w:rsidR="00EC3DC0" w:rsidRPr="00C442EC" w:rsidRDefault="00EC3DC0" w:rsidP="009779A6">
            <w:pPr>
              <w:numPr>
                <w:ilvl w:val="0"/>
                <w:numId w:val="1"/>
              </w:numPr>
              <w:ind w:left="34" w:firstLine="0"/>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Modul de încorporare a actului în cadrul normativ în vigoare</w:t>
            </w:r>
          </w:p>
        </w:tc>
      </w:tr>
      <w:tr w:rsidR="00C442EC" w:rsidRPr="00C442EC" w14:paraId="27C106DD" w14:textId="77777777" w:rsidTr="009779A6">
        <w:tc>
          <w:tcPr>
            <w:tcW w:w="9209" w:type="dxa"/>
          </w:tcPr>
          <w:p w14:paraId="4F70718D" w14:textId="649C2AB6" w:rsidR="00EC3DC0" w:rsidRPr="00A32DA6" w:rsidRDefault="00A32DA6" w:rsidP="00A32DA6">
            <w:pPr>
              <w:ind w:firstLine="576"/>
              <w:jc w:val="both"/>
              <w:rPr>
                <w:rFonts w:ascii="Times New Roman" w:eastAsia="Calibri" w:hAnsi="Times New Roman" w:cs="Times New Roman"/>
                <w:sz w:val="26"/>
                <w:szCs w:val="26"/>
              </w:rPr>
            </w:pPr>
            <w:r w:rsidRPr="00A32DA6">
              <w:rPr>
                <w:rFonts w:ascii="Times New Roman" w:eastAsia="Calibri" w:hAnsi="Times New Roman" w:cs="Times New Roman"/>
                <w:sz w:val="26"/>
                <w:szCs w:val="26"/>
                <w:lang w:val="ro-MD"/>
              </w:rPr>
              <w:t>Actul normativ în cauză este elaborat în temeiul Legii nr. 100/2017, Legii nr. 71/2023 cu respectarea prevederilor Legii nr. 100/2017 și este în totalitate compatibil cu cadrul normativ în vigoare.</w:t>
            </w:r>
          </w:p>
        </w:tc>
      </w:tr>
      <w:tr w:rsidR="00C442EC" w:rsidRPr="00C442EC" w14:paraId="7EE1132F" w14:textId="77777777" w:rsidTr="009779A6">
        <w:trPr>
          <w:trHeight w:val="459"/>
        </w:trPr>
        <w:tc>
          <w:tcPr>
            <w:tcW w:w="9209" w:type="dxa"/>
            <w:vAlign w:val="center"/>
          </w:tcPr>
          <w:p w14:paraId="3331218E" w14:textId="77777777" w:rsidR="00EC3DC0" w:rsidRPr="00C442EC" w:rsidRDefault="00EC3DC0" w:rsidP="009779A6">
            <w:pPr>
              <w:numPr>
                <w:ilvl w:val="0"/>
                <w:numId w:val="1"/>
              </w:numPr>
              <w:tabs>
                <w:tab w:val="left" w:pos="34"/>
              </w:tabs>
              <w:ind w:left="34" w:firstLine="0"/>
              <w:contextualSpacing/>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Avizarea şi consultarea publică a proiectului</w:t>
            </w:r>
          </w:p>
        </w:tc>
      </w:tr>
      <w:tr w:rsidR="00C442EC" w:rsidRPr="00C442EC" w14:paraId="5F1CDDDB" w14:textId="77777777" w:rsidTr="009779A6">
        <w:tc>
          <w:tcPr>
            <w:tcW w:w="9209" w:type="dxa"/>
          </w:tcPr>
          <w:p w14:paraId="3E631EB7" w14:textId="08A36523" w:rsidR="00EC3DC0" w:rsidRPr="00C442EC" w:rsidRDefault="00EC3DC0" w:rsidP="009779A6">
            <w:pPr>
              <w:ind w:firstLine="567"/>
              <w:jc w:val="both"/>
              <w:rPr>
                <w:rFonts w:ascii="Times New Roman" w:eastAsia="Calibri" w:hAnsi="Times New Roman" w:cs="Times New Roman"/>
                <w:sz w:val="26"/>
                <w:szCs w:val="26"/>
              </w:rPr>
            </w:pPr>
            <w:r w:rsidRPr="00C442EC">
              <w:rPr>
                <w:rFonts w:ascii="Times New Roman" w:eastAsia="Calibri" w:hAnsi="Times New Roman" w:cs="Times New Roman"/>
                <w:sz w:val="26"/>
                <w:szCs w:val="26"/>
              </w:rPr>
              <w:t>Proiectul a fost plasat spre consultări publice pe pagina web a Ministerului și particip.gov.md</w:t>
            </w:r>
          </w:p>
          <w:p w14:paraId="1BA9E0AC" w14:textId="280768F5" w:rsidR="0052227C" w:rsidRPr="00C442EC" w:rsidRDefault="00413B25" w:rsidP="006546A8">
            <w:pPr>
              <w:jc w:val="both"/>
              <w:rPr>
                <w:rFonts w:ascii="Times New Roman" w:eastAsia="Calibri" w:hAnsi="Times New Roman" w:cs="Times New Roman"/>
                <w:b/>
                <w:sz w:val="26"/>
                <w:szCs w:val="26"/>
              </w:rPr>
            </w:pPr>
            <w:hyperlink r:id="rId5" w:history="1">
              <w:r w:rsidRPr="00AA0317">
                <w:rPr>
                  <w:rStyle w:val="Hyperlink"/>
                  <w:rFonts w:ascii="Times New Roman" w:eastAsia="Calibri" w:hAnsi="Times New Roman" w:cs="Times New Roman"/>
                  <w:b/>
                  <w:sz w:val="26"/>
                  <w:szCs w:val="26"/>
                </w:rPr>
                <w:t>https://particip.gov.md/ro/document/stages/anunt-privind-initierea-elaborarii-analizei-impactului-de-reglementare-si-proiectului-de-hotarare-cu-privire-la-modificarea-hotararii-guvernului-nr4132013-pentru-aprobarea-regulamentului-privind-testarea-si-admiterea-soiurilor-in-catalogul-soiurilor-de-plante/11801</w:t>
              </w:r>
            </w:hyperlink>
            <w:r>
              <w:rPr>
                <w:rFonts w:ascii="Times New Roman" w:eastAsia="Calibri" w:hAnsi="Times New Roman" w:cs="Times New Roman"/>
                <w:b/>
                <w:sz w:val="26"/>
                <w:szCs w:val="26"/>
              </w:rPr>
              <w:t xml:space="preserve"> </w:t>
            </w:r>
          </w:p>
        </w:tc>
      </w:tr>
      <w:tr w:rsidR="00C442EC" w:rsidRPr="00C442EC" w14:paraId="233DCF57" w14:textId="77777777" w:rsidTr="009779A6">
        <w:tc>
          <w:tcPr>
            <w:tcW w:w="9209" w:type="dxa"/>
          </w:tcPr>
          <w:p w14:paraId="7177FD50" w14:textId="77777777" w:rsidR="00EC3DC0" w:rsidRPr="00C442EC" w:rsidRDefault="00EC3DC0" w:rsidP="009779A6">
            <w:pPr>
              <w:tabs>
                <w:tab w:val="left" w:pos="884"/>
                <w:tab w:val="left" w:pos="1196"/>
              </w:tabs>
              <w:jc w:val="both"/>
              <w:rPr>
                <w:rFonts w:ascii="Times New Roman" w:eastAsia="Calibri" w:hAnsi="Times New Roman" w:cs="Times New Roman"/>
                <w:sz w:val="26"/>
                <w:szCs w:val="26"/>
              </w:rPr>
            </w:pPr>
            <w:r w:rsidRPr="00C442EC">
              <w:rPr>
                <w:rFonts w:ascii="Times New Roman" w:eastAsia="Calibri" w:hAnsi="Times New Roman" w:cs="Times New Roman"/>
                <w:b/>
                <w:sz w:val="26"/>
                <w:szCs w:val="26"/>
              </w:rPr>
              <w:t>8. Constatările expertizei anticorupție</w:t>
            </w:r>
          </w:p>
        </w:tc>
      </w:tr>
      <w:tr w:rsidR="00C442EC" w:rsidRPr="00C442EC" w14:paraId="0502D999" w14:textId="77777777" w:rsidTr="009779A6">
        <w:tc>
          <w:tcPr>
            <w:tcW w:w="9209" w:type="dxa"/>
          </w:tcPr>
          <w:p w14:paraId="1547F807" w14:textId="10828BB7" w:rsidR="00EC3DC0" w:rsidRPr="00C442EC" w:rsidRDefault="00E906E6" w:rsidP="009779A6">
            <w:pPr>
              <w:tabs>
                <w:tab w:val="left" w:pos="884"/>
                <w:tab w:val="left" w:pos="1196"/>
              </w:tabs>
              <w:ind w:firstLine="601"/>
              <w:jc w:val="both"/>
              <w:rPr>
                <w:rFonts w:ascii="Times New Roman" w:eastAsia="Calibri" w:hAnsi="Times New Roman" w:cs="Times New Roman"/>
                <w:sz w:val="26"/>
                <w:szCs w:val="26"/>
              </w:rPr>
            </w:pPr>
            <w:r>
              <w:rPr>
                <w:rFonts w:ascii="Times New Roman" w:eastAsia="Calibri" w:hAnsi="Times New Roman" w:cs="Times New Roman"/>
                <w:sz w:val="26"/>
                <w:szCs w:val="26"/>
              </w:rPr>
              <w:t>În conformitate cu prevederile art.35 ale Legii nr.100/2017 cu privire la actele normative și art.28, alin. 2) a Legii integrității nr.82/2017, proiectul hotărârii Guvernului urmează a fi supus expertizei anticorupție de către Centrul Național Anticorupție</w:t>
            </w:r>
          </w:p>
        </w:tc>
      </w:tr>
      <w:tr w:rsidR="00C442EC" w:rsidRPr="00C442EC" w14:paraId="2F0D8981" w14:textId="77777777" w:rsidTr="009779A6">
        <w:tc>
          <w:tcPr>
            <w:tcW w:w="9209" w:type="dxa"/>
          </w:tcPr>
          <w:p w14:paraId="596266C5" w14:textId="77777777" w:rsidR="00EC3DC0" w:rsidRPr="00C442EC" w:rsidRDefault="00EC3DC0" w:rsidP="009779A6">
            <w:pPr>
              <w:tabs>
                <w:tab w:val="left" w:pos="884"/>
                <w:tab w:val="left" w:pos="1196"/>
              </w:tabs>
              <w:spacing w:after="80"/>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9. Constatările expertizei de compatibilitate</w:t>
            </w:r>
          </w:p>
        </w:tc>
      </w:tr>
      <w:tr w:rsidR="00C442EC" w:rsidRPr="00C442EC" w14:paraId="62E25887" w14:textId="77777777" w:rsidTr="009779A6">
        <w:tc>
          <w:tcPr>
            <w:tcW w:w="9209" w:type="dxa"/>
          </w:tcPr>
          <w:p w14:paraId="3560EFF5" w14:textId="5DAFF845" w:rsidR="00EC3DC0" w:rsidRPr="00C442EC" w:rsidRDefault="00E906E6" w:rsidP="009779A6">
            <w:pPr>
              <w:tabs>
                <w:tab w:val="left" w:pos="884"/>
                <w:tab w:val="left" w:pos="1196"/>
              </w:tabs>
              <w:spacing w:after="80"/>
              <w:ind w:firstLine="601"/>
              <w:jc w:val="both"/>
              <w:rPr>
                <w:rFonts w:ascii="Times New Roman" w:eastAsia="Calibri" w:hAnsi="Times New Roman" w:cs="Times New Roman"/>
                <w:sz w:val="26"/>
                <w:szCs w:val="26"/>
              </w:rPr>
            </w:pPr>
            <w:r>
              <w:rPr>
                <w:rFonts w:ascii="Times New Roman" w:eastAsia="Calibri" w:hAnsi="Times New Roman" w:cs="Times New Roman"/>
                <w:sz w:val="26"/>
                <w:szCs w:val="26"/>
              </w:rPr>
              <w:t>În conformitate cu art.36, alin.(2) a Legii nr.100/2017 cu privire la actele normative și art.28, alin. 2) a Legii integrității nr.82/2017, proiectul hotărârii Guvernului urmează a fi supus expertizei de compatibilitate a proiectului actului normativ cu legislația Uniunii Europene.</w:t>
            </w:r>
          </w:p>
        </w:tc>
      </w:tr>
      <w:tr w:rsidR="00C442EC" w:rsidRPr="00C442EC" w14:paraId="47EAF3FA" w14:textId="77777777" w:rsidTr="009779A6">
        <w:tc>
          <w:tcPr>
            <w:tcW w:w="9209" w:type="dxa"/>
          </w:tcPr>
          <w:p w14:paraId="206B1AAC" w14:textId="77777777" w:rsidR="00EC3DC0" w:rsidRPr="00C442EC" w:rsidRDefault="00EC3DC0" w:rsidP="009779A6">
            <w:pPr>
              <w:tabs>
                <w:tab w:val="left" w:pos="884"/>
                <w:tab w:val="left" w:pos="1196"/>
              </w:tabs>
              <w:spacing w:after="80"/>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10. Constatările expertizei juridice</w:t>
            </w:r>
          </w:p>
        </w:tc>
      </w:tr>
      <w:tr w:rsidR="00C442EC" w:rsidRPr="00C442EC" w14:paraId="2F74B153" w14:textId="77777777" w:rsidTr="009779A6">
        <w:tc>
          <w:tcPr>
            <w:tcW w:w="9209" w:type="dxa"/>
          </w:tcPr>
          <w:p w14:paraId="1B9EA034" w14:textId="4CF91950" w:rsidR="00EC3DC0" w:rsidRPr="00C442EC" w:rsidRDefault="000B75B5" w:rsidP="009779A6">
            <w:pPr>
              <w:tabs>
                <w:tab w:val="left" w:pos="993"/>
              </w:tabs>
              <w:ind w:firstLine="601"/>
              <w:jc w:val="both"/>
              <w:rPr>
                <w:rFonts w:ascii="Times New Roman" w:eastAsia="Calibri" w:hAnsi="Times New Roman" w:cs="Times New Roman"/>
                <w:sz w:val="26"/>
                <w:szCs w:val="26"/>
              </w:rPr>
            </w:pPr>
            <w:r w:rsidRPr="00C442EC">
              <w:rPr>
                <w:rFonts w:ascii="Times New Roman" w:eastAsia="Calibri" w:hAnsi="Times New Roman" w:cs="Times New Roman"/>
                <w:sz w:val="26"/>
                <w:szCs w:val="26"/>
              </w:rPr>
              <w:t>Proiectul urmează a fi remis pentru expertiza justiție de către Ministerul Justiției, conform art. 36 din Legea nr. 100/2017 cu privire la actele normative, iar rezultatele acesteia vor fi inc1use în sinteza obiecțiilor și propunerilor.</w:t>
            </w:r>
          </w:p>
        </w:tc>
      </w:tr>
      <w:tr w:rsidR="00C442EC" w:rsidRPr="00C442EC" w14:paraId="2B08F105" w14:textId="77777777" w:rsidTr="009779A6">
        <w:tc>
          <w:tcPr>
            <w:tcW w:w="9209" w:type="dxa"/>
          </w:tcPr>
          <w:p w14:paraId="2AC38D1A" w14:textId="77777777" w:rsidR="00EC3DC0" w:rsidRPr="00C442EC" w:rsidRDefault="00EC3DC0" w:rsidP="009779A6">
            <w:pPr>
              <w:tabs>
                <w:tab w:val="left" w:pos="884"/>
                <w:tab w:val="left" w:pos="1196"/>
              </w:tabs>
              <w:spacing w:after="80"/>
              <w:jc w:val="both"/>
              <w:rPr>
                <w:rFonts w:ascii="Times New Roman" w:eastAsia="Calibri" w:hAnsi="Times New Roman" w:cs="Times New Roman"/>
                <w:b/>
                <w:sz w:val="26"/>
                <w:szCs w:val="26"/>
              </w:rPr>
            </w:pPr>
            <w:r w:rsidRPr="00C442EC">
              <w:rPr>
                <w:rFonts w:ascii="Times New Roman" w:eastAsia="Calibri" w:hAnsi="Times New Roman" w:cs="Times New Roman"/>
                <w:b/>
                <w:sz w:val="26"/>
                <w:szCs w:val="26"/>
              </w:rPr>
              <w:t>11. Constatările altor expertize</w:t>
            </w:r>
          </w:p>
        </w:tc>
      </w:tr>
      <w:tr w:rsidR="00EC3DC0" w:rsidRPr="00C442EC" w14:paraId="21F643CC" w14:textId="77777777" w:rsidTr="009779A6">
        <w:tc>
          <w:tcPr>
            <w:tcW w:w="9209" w:type="dxa"/>
          </w:tcPr>
          <w:p w14:paraId="111306BD" w14:textId="69646D5E" w:rsidR="00EC3DC0" w:rsidRPr="00C442EC" w:rsidRDefault="00F53CF4" w:rsidP="009779A6">
            <w:pPr>
              <w:ind w:firstLine="567"/>
              <w:jc w:val="both"/>
              <w:rPr>
                <w:rFonts w:ascii="Times New Roman" w:eastAsia="Calibri" w:hAnsi="Times New Roman" w:cs="Times New Roman"/>
                <w:iCs/>
                <w:sz w:val="26"/>
                <w:szCs w:val="26"/>
              </w:rPr>
            </w:pPr>
            <w:r w:rsidRPr="008C08A7">
              <w:rPr>
                <w:rFonts w:ascii="Times New Roman" w:eastAsia="Calibri" w:hAnsi="Times New Roman" w:cs="Times New Roman"/>
                <w:iCs/>
                <w:sz w:val="26"/>
                <w:szCs w:val="26"/>
              </w:rPr>
              <w:t>Analiza impactului de reglementare la proiectul Hotărârii Guvernului nr.</w:t>
            </w:r>
            <w:r w:rsidR="00A32DA6" w:rsidRPr="008C08A7">
              <w:rPr>
                <w:rFonts w:ascii="Times New Roman" w:eastAsia="Calibri" w:hAnsi="Times New Roman" w:cs="Times New Roman"/>
                <w:iCs/>
                <w:sz w:val="26"/>
                <w:szCs w:val="26"/>
              </w:rPr>
              <w:t>43</w:t>
            </w:r>
            <w:r w:rsidRPr="008C08A7">
              <w:rPr>
                <w:rFonts w:ascii="Times New Roman" w:eastAsia="Calibri" w:hAnsi="Times New Roman" w:cs="Times New Roman"/>
                <w:iCs/>
                <w:sz w:val="26"/>
                <w:szCs w:val="26"/>
              </w:rPr>
              <w:t>/20</w:t>
            </w:r>
            <w:r w:rsidR="00A32DA6" w:rsidRPr="008C08A7">
              <w:rPr>
                <w:rFonts w:ascii="Times New Roman" w:eastAsia="Calibri" w:hAnsi="Times New Roman" w:cs="Times New Roman"/>
                <w:iCs/>
                <w:sz w:val="26"/>
                <w:szCs w:val="26"/>
              </w:rPr>
              <w:t>13</w:t>
            </w:r>
            <w:r w:rsidRPr="008C08A7">
              <w:rPr>
                <w:rFonts w:ascii="Times New Roman" w:eastAsia="Calibri" w:hAnsi="Times New Roman" w:cs="Times New Roman"/>
                <w:iCs/>
                <w:sz w:val="26"/>
                <w:szCs w:val="26"/>
              </w:rPr>
              <w:t>, a</w:t>
            </w:r>
            <w:r w:rsidR="00121BE5" w:rsidRPr="008C08A7">
              <w:rPr>
                <w:rFonts w:ascii="Times New Roman" w:eastAsia="Calibri" w:hAnsi="Times New Roman" w:cs="Times New Roman"/>
                <w:iCs/>
                <w:sz w:val="26"/>
                <w:szCs w:val="26"/>
              </w:rPr>
              <w:t xml:space="preserve"> fost </w:t>
            </w:r>
            <w:r w:rsidR="008F113A" w:rsidRPr="008C08A7">
              <w:rPr>
                <w:rFonts w:ascii="Times New Roman" w:eastAsia="Calibri" w:hAnsi="Times New Roman" w:cs="Times New Roman"/>
                <w:iCs/>
                <w:sz w:val="26"/>
                <w:szCs w:val="26"/>
              </w:rPr>
              <w:t>examinat</w:t>
            </w:r>
            <w:r w:rsidRPr="008C08A7">
              <w:rPr>
                <w:rFonts w:ascii="Times New Roman" w:eastAsia="Calibri" w:hAnsi="Times New Roman" w:cs="Times New Roman"/>
                <w:iCs/>
                <w:sz w:val="26"/>
                <w:szCs w:val="26"/>
              </w:rPr>
              <w:t>ă</w:t>
            </w:r>
            <w:r w:rsidR="008F113A" w:rsidRPr="008C08A7">
              <w:rPr>
                <w:rFonts w:ascii="Times New Roman" w:eastAsia="Calibri" w:hAnsi="Times New Roman" w:cs="Times New Roman"/>
                <w:iCs/>
                <w:sz w:val="26"/>
                <w:szCs w:val="26"/>
              </w:rPr>
              <w:t xml:space="preserve"> </w:t>
            </w:r>
            <w:r w:rsidR="00D34E43" w:rsidRPr="008C08A7">
              <w:rPr>
                <w:rFonts w:ascii="Times New Roman" w:eastAsia="Calibri" w:hAnsi="Times New Roman" w:cs="Times New Roman"/>
                <w:iCs/>
                <w:sz w:val="26"/>
                <w:szCs w:val="26"/>
              </w:rPr>
              <w:t xml:space="preserve">în </w:t>
            </w:r>
            <w:r w:rsidR="00C93A85" w:rsidRPr="008C08A7">
              <w:rPr>
                <w:rFonts w:ascii="Times New Roman" w:eastAsia="Calibri" w:hAnsi="Times New Roman" w:cs="Times New Roman"/>
                <w:iCs/>
                <w:sz w:val="26"/>
                <w:szCs w:val="26"/>
              </w:rPr>
              <w:t xml:space="preserve">ședința </w:t>
            </w:r>
            <w:r w:rsidR="008F113A" w:rsidRPr="008C08A7">
              <w:rPr>
                <w:rFonts w:ascii="Times New Roman" w:eastAsia="Calibri" w:hAnsi="Times New Roman" w:cs="Times New Roman"/>
                <w:iCs/>
                <w:sz w:val="26"/>
                <w:szCs w:val="26"/>
              </w:rPr>
              <w:t>Grupul</w:t>
            </w:r>
            <w:r w:rsidR="00C93A85" w:rsidRPr="008C08A7">
              <w:rPr>
                <w:rFonts w:ascii="Times New Roman" w:eastAsia="Calibri" w:hAnsi="Times New Roman" w:cs="Times New Roman"/>
                <w:iCs/>
                <w:sz w:val="26"/>
                <w:szCs w:val="26"/>
              </w:rPr>
              <w:t>ui</w:t>
            </w:r>
            <w:r w:rsidR="008F113A" w:rsidRPr="008C08A7">
              <w:rPr>
                <w:rFonts w:ascii="Times New Roman" w:eastAsia="Calibri" w:hAnsi="Times New Roman" w:cs="Times New Roman"/>
                <w:iCs/>
                <w:sz w:val="26"/>
                <w:szCs w:val="26"/>
              </w:rPr>
              <w:t xml:space="preserve"> de lucru </w:t>
            </w:r>
            <w:r w:rsidR="00C93A85" w:rsidRPr="008C08A7">
              <w:rPr>
                <w:rFonts w:ascii="Times New Roman" w:eastAsia="Calibri" w:hAnsi="Times New Roman" w:cs="Times New Roman"/>
                <w:iCs/>
                <w:sz w:val="26"/>
                <w:szCs w:val="26"/>
              </w:rPr>
              <w:t xml:space="preserve">al Comisiei de stat pentru reglementarea activităţii de întreprinzător pe data </w:t>
            </w:r>
            <w:r w:rsidR="008C08A7" w:rsidRPr="008C08A7">
              <w:rPr>
                <w:rFonts w:ascii="Times New Roman" w:eastAsia="Calibri" w:hAnsi="Times New Roman" w:cs="Times New Roman"/>
                <w:iCs/>
                <w:sz w:val="26"/>
                <w:szCs w:val="26"/>
              </w:rPr>
              <w:t>09</w:t>
            </w:r>
            <w:r w:rsidR="008F113A" w:rsidRPr="008C08A7">
              <w:rPr>
                <w:rFonts w:ascii="Times New Roman" w:eastAsia="Calibri" w:hAnsi="Times New Roman" w:cs="Times New Roman"/>
                <w:iCs/>
                <w:sz w:val="26"/>
                <w:szCs w:val="26"/>
              </w:rPr>
              <w:t>/</w:t>
            </w:r>
            <w:r w:rsidR="008C08A7" w:rsidRPr="008C08A7">
              <w:rPr>
                <w:rFonts w:ascii="Times New Roman" w:eastAsia="Calibri" w:hAnsi="Times New Roman" w:cs="Times New Roman"/>
                <w:iCs/>
                <w:sz w:val="26"/>
                <w:szCs w:val="26"/>
              </w:rPr>
              <w:t>04</w:t>
            </w:r>
            <w:r w:rsidR="008F113A" w:rsidRPr="008C08A7">
              <w:rPr>
                <w:rFonts w:ascii="Times New Roman" w:eastAsia="Calibri" w:hAnsi="Times New Roman" w:cs="Times New Roman"/>
                <w:iCs/>
                <w:sz w:val="26"/>
                <w:szCs w:val="26"/>
              </w:rPr>
              <w:t>/202</w:t>
            </w:r>
            <w:r w:rsidR="008C08A7" w:rsidRPr="008C08A7">
              <w:rPr>
                <w:rFonts w:ascii="Times New Roman" w:eastAsia="Calibri" w:hAnsi="Times New Roman" w:cs="Times New Roman"/>
                <w:iCs/>
                <w:sz w:val="26"/>
                <w:szCs w:val="26"/>
              </w:rPr>
              <w:t>4</w:t>
            </w:r>
            <w:r w:rsidR="008F113A" w:rsidRPr="008C08A7">
              <w:rPr>
                <w:rFonts w:ascii="Times New Roman" w:eastAsia="Calibri" w:hAnsi="Times New Roman" w:cs="Times New Roman"/>
                <w:iCs/>
                <w:sz w:val="26"/>
                <w:szCs w:val="26"/>
              </w:rPr>
              <w:t xml:space="preserve"> </w:t>
            </w:r>
            <w:r w:rsidRPr="008C08A7">
              <w:rPr>
                <w:rFonts w:ascii="Times New Roman" w:eastAsia="Calibri" w:hAnsi="Times New Roman" w:cs="Times New Roman"/>
                <w:iCs/>
                <w:sz w:val="26"/>
                <w:szCs w:val="26"/>
              </w:rPr>
              <w:t>și a fost susținut condiționat, conform Procesului-verbal nr.</w:t>
            </w:r>
            <w:r w:rsidRPr="00A32DA6">
              <w:rPr>
                <w:rFonts w:ascii="Times New Roman" w:eastAsia="Calibri" w:hAnsi="Times New Roman" w:cs="Times New Roman"/>
                <w:iCs/>
                <w:sz w:val="26"/>
                <w:szCs w:val="26"/>
                <w:highlight w:val="yellow"/>
              </w:rPr>
              <w:t xml:space="preserve"> 45 din 28.11.23.</w:t>
            </w:r>
          </w:p>
        </w:tc>
      </w:tr>
    </w:tbl>
    <w:p w14:paraId="7F93B95B" w14:textId="77777777" w:rsidR="00EC3DC0" w:rsidRPr="00C442EC" w:rsidRDefault="00EC3DC0" w:rsidP="00EC3DC0">
      <w:pPr>
        <w:spacing w:after="0" w:line="240" w:lineRule="auto"/>
        <w:rPr>
          <w:rFonts w:ascii="Times New Roman" w:eastAsia="Calibri" w:hAnsi="Times New Roman" w:cs="Times New Roman"/>
          <w:sz w:val="26"/>
          <w:szCs w:val="26"/>
        </w:rPr>
      </w:pPr>
    </w:p>
    <w:p w14:paraId="613AC680" w14:textId="77777777" w:rsidR="00C765A4" w:rsidRPr="00C442EC" w:rsidRDefault="00C765A4" w:rsidP="00EC3DC0">
      <w:pPr>
        <w:spacing w:after="0" w:line="240" w:lineRule="auto"/>
        <w:rPr>
          <w:rFonts w:ascii="Times New Roman" w:eastAsia="Calibri" w:hAnsi="Times New Roman" w:cs="Times New Roman"/>
          <w:sz w:val="26"/>
          <w:szCs w:val="26"/>
        </w:rPr>
      </w:pPr>
    </w:p>
    <w:p w14:paraId="676760A2" w14:textId="77777777" w:rsidR="00CD2461" w:rsidRPr="00C442EC" w:rsidRDefault="00CD2461" w:rsidP="00CD2461">
      <w:pPr>
        <w:spacing w:after="0" w:line="360" w:lineRule="auto"/>
        <w:ind w:firstLine="720"/>
        <w:jc w:val="both"/>
        <w:rPr>
          <w:rFonts w:ascii="Times New Roman" w:hAnsi="Times New Roman" w:cs="Times New Roman"/>
          <w:b/>
          <w:sz w:val="27"/>
          <w:szCs w:val="27"/>
        </w:rPr>
      </w:pPr>
      <w:bookmarkStart w:id="0" w:name="_Hlk150949689"/>
      <w:r w:rsidRPr="00C442EC">
        <w:rPr>
          <w:rFonts w:ascii="Times New Roman" w:hAnsi="Times New Roman" w:cs="Times New Roman"/>
          <w:b/>
          <w:sz w:val="27"/>
          <w:szCs w:val="27"/>
        </w:rPr>
        <w:t>Secretar de Stat</w:t>
      </w:r>
      <w:r w:rsidRPr="00C442EC">
        <w:rPr>
          <w:rFonts w:ascii="Times New Roman" w:hAnsi="Times New Roman" w:cs="Times New Roman"/>
          <w:b/>
          <w:sz w:val="27"/>
          <w:szCs w:val="27"/>
        </w:rPr>
        <w:tab/>
      </w:r>
      <w:r w:rsidRPr="00C442EC">
        <w:rPr>
          <w:rFonts w:ascii="Times New Roman" w:hAnsi="Times New Roman" w:cs="Times New Roman"/>
          <w:b/>
          <w:sz w:val="27"/>
          <w:szCs w:val="27"/>
        </w:rPr>
        <w:tab/>
      </w:r>
      <w:r w:rsidRPr="00C442EC">
        <w:rPr>
          <w:rFonts w:ascii="Times New Roman" w:hAnsi="Times New Roman" w:cs="Times New Roman"/>
          <w:b/>
          <w:sz w:val="27"/>
          <w:szCs w:val="27"/>
        </w:rPr>
        <w:tab/>
      </w:r>
      <w:r w:rsidRPr="00C442EC">
        <w:rPr>
          <w:rFonts w:ascii="Times New Roman" w:hAnsi="Times New Roman" w:cs="Times New Roman"/>
          <w:b/>
          <w:sz w:val="27"/>
          <w:szCs w:val="27"/>
        </w:rPr>
        <w:tab/>
      </w:r>
      <w:r w:rsidRPr="00C442EC">
        <w:rPr>
          <w:rFonts w:ascii="Times New Roman" w:hAnsi="Times New Roman" w:cs="Times New Roman"/>
          <w:b/>
          <w:sz w:val="27"/>
          <w:szCs w:val="27"/>
        </w:rPr>
        <w:tab/>
      </w:r>
      <w:r w:rsidRPr="00C442EC">
        <w:rPr>
          <w:rFonts w:ascii="Times New Roman" w:hAnsi="Times New Roman" w:cs="Times New Roman"/>
          <w:b/>
          <w:sz w:val="27"/>
          <w:szCs w:val="27"/>
        </w:rPr>
        <w:tab/>
      </w:r>
      <w:r w:rsidR="006B191D" w:rsidRPr="00C442EC">
        <w:rPr>
          <w:rFonts w:ascii="Times New Roman" w:hAnsi="Times New Roman" w:cs="Times New Roman"/>
          <w:b/>
          <w:sz w:val="27"/>
          <w:szCs w:val="27"/>
        </w:rPr>
        <w:t>Vasile ȘARBAN</w:t>
      </w:r>
    </w:p>
    <w:p w14:paraId="03F3105B" w14:textId="77777777" w:rsidR="00CD2461" w:rsidRPr="00C442EC" w:rsidRDefault="00CD2461" w:rsidP="00143085">
      <w:pPr>
        <w:pStyle w:val="Frspaiere"/>
        <w:rPr>
          <w:rFonts w:ascii="Times New Roman" w:hAnsi="Times New Roman"/>
        </w:rPr>
      </w:pPr>
    </w:p>
    <w:p w14:paraId="1EC71CF2" w14:textId="77777777" w:rsidR="00CD2461" w:rsidRPr="00C442EC" w:rsidRDefault="00CD2461" w:rsidP="00143085">
      <w:pPr>
        <w:pStyle w:val="Frspaiere"/>
        <w:rPr>
          <w:rFonts w:ascii="Times New Roman" w:hAnsi="Times New Roman"/>
        </w:rPr>
      </w:pPr>
    </w:p>
    <w:p w14:paraId="4C19E282" w14:textId="3656813C" w:rsidR="00CD2461" w:rsidRPr="00A32DA6" w:rsidRDefault="00CD2461" w:rsidP="00143085">
      <w:pPr>
        <w:pStyle w:val="Frspaiere"/>
        <w:ind w:left="686"/>
        <w:rPr>
          <w:rFonts w:ascii="Times New Roman" w:eastAsia="Times New Roman" w:hAnsi="Times New Roman"/>
          <w:i/>
          <w:sz w:val="20"/>
          <w:lang w:eastAsia="ro-RO"/>
        </w:rPr>
      </w:pPr>
      <w:r w:rsidRPr="00A32DA6">
        <w:rPr>
          <w:rFonts w:ascii="Times New Roman" w:eastAsia="Times New Roman" w:hAnsi="Times New Roman"/>
          <w:i/>
          <w:sz w:val="20"/>
          <w:lang w:eastAsia="ro-RO"/>
        </w:rPr>
        <w:t xml:space="preserve">Ex: </w:t>
      </w:r>
      <w:r w:rsidR="00CA3829" w:rsidRPr="00A32DA6">
        <w:rPr>
          <w:rFonts w:ascii="Times New Roman" w:eastAsia="Times New Roman" w:hAnsi="Times New Roman"/>
          <w:i/>
          <w:sz w:val="20"/>
          <w:lang w:eastAsia="ro-RO"/>
        </w:rPr>
        <w:t>Grigore Baltag</w:t>
      </w:r>
      <w:r w:rsidRPr="00A32DA6">
        <w:rPr>
          <w:rFonts w:ascii="Times New Roman" w:eastAsia="Times New Roman" w:hAnsi="Times New Roman"/>
          <w:i/>
          <w:sz w:val="20"/>
          <w:lang w:eastAsia="ro-RO"/>
        </w:rPr>
        <w:t>,</w:t>
      </w:r>
    </w:p>
    <w:p w14:paraId="3FBAACC4" w14:textId="5C937735" w:rsidR="00B32302" w:rsidRPr="00A32DA6" w:rsidRDefault="00CD2461" w:rsidP="00CA3829">
      <w:pPr>
        <w:spacing w:after="0"/>
        <w:ind w:left="686"/>
        <w:rPr>
          <w:rFonts w:ascii="Times New Roman" w:eastAsia="Times New Roman" w:hAnsi="Times New Roman" w:cs="Times New Roman"/>
          <w:i/>
          <w:sz w:val="20"/>
          <w:lang w:eastAsia="ro-RO"/>
        </w:rPr>
      </w:pPr>
      <w:r w:rsidRPr="00A32DA6">
        <w:rPr>
          <w:rFonts w:ascii="Times New Roman" w:eastAsia="Times New Roman" w:hAnsi="Times New Roman" w:cs="Times New Roman"/>
          <w:i/>
          <w:sz w:val="20"/>
          <w:lang w:eastAsia="ro-RO"/>
        </w:rPr>
        <w:t>Tel.: 022 204-</w:t>
      </w:r>
      <w:bookmarkEnd w:id="0"/>
      <w:r w:rsidR="00CA3829" w:rsidRPr="00A32DA6">
        <w:rPr>
          <w:rFonts w:ascii="Times New Roman" w:eastAsia="Times New Roman" w:hAnsi="Times New Roman" w:cs="Times New Roman"/>
          <w:i/>
          <w:sz w:val="20"/>
          <w:lang w:eastAsia="ro-RO"/>
        </w:rPr>
        <w:t>514</w:t>
      </w:r>
    </w:p>
    <w:sectPr w:rsidR="00B32302" w:rsidRPr="00A32DA6" w:rsidSect="003304CF">
      <w:pgSz w:w="11906" w:h="16838" w:code="9"/>
      <w:pgMar w:top="993"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4750C"/>
    <w:multiLevelType w:val="hybridMultilevel"/>
    <w:tmpl w:val="B1C0843C"/>
    <w:lvl w:ilvl="0" w:tplc="3E48D646">
      <w:start w:val="19"/>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9BF502A"/>
    <w:multiLevelType w:val="hybridMultilevel"/>
    <w:tmpl w:val="7BA29868"/>
    <w:lvl w:ilvl="0" w:tplc="60700FCC">
      <w:start w:val="2"/>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5264137A"/>
    <w:multiLevelType w:val="hybridMultilevel"/>
    <w:tmpl w:val="B7FCB874"/>
    <w:lvl w:ilvl="0" w:tplc="05AC10E0">
      <w:start w:val="44"/>
      <w:numFmt w:val="bullet"/>
      <w:lvlText w:val="-"/>
      <w:lvlJc w:val="left"/>
      <w:pPr>
        <w:ind w:left="961" w:hanging="360"/>
      </w:pPr>
      <w:rPr>
        <w:rFonts w:ascii="Times New Roman" w:eastAsia="Calibri"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3" w15:restartNumberingAfterBreak="0">
    <w:nsid w:val="71A76360"/>
    <w:multiLevelType w:val="hybridMultilevel"/>
    <w:tmpl w:val="4002ED5C"/>
    <w:lvl w:ilvl="0" w:tplc="5F2447F0">
      <w:start w:val="16"/>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995105011">
    <w:abstractNumId w:val="1"/>
  </w:num>
  <w:num w:numId="2" w16cid:durableId="333185902">
    <w:abstractNumId w:val="0"/>
  </w:num>
  <w:num w:numId="3" w16cid:durableId="1408459258">
    <w:abstractNumId w:val="3"/>
  </w:num>
  <w:num w:numId="4" w16cid:durableId="589200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C0"/>
    <w:rsid w:val="00010227"/>
    <w:rsid w:val="00082CF9"/>
    <w:rsid w:val="000B75B5"/>
    <w:rsid w:val="000D1DCC"/>
    <w:rsid w:val="000F2B65"/>
    <w:rsid w:val="00121BE5"/>
    <w:rsid w:val="00143085"/>
    <w:rsid w:val="00156E4C"/>
    <w:rsid w:val="00193203"/>
    <w:rsid w:val="0019551C"/>
    <w:rsid w:val="00211194"/>
    <w:rsid w:val="00274860"/>
    <w:rsid w:val="002F55F7"/>
    <w:rsid w:val="002F6ADF"/>
    <w:rsid w:val="00321291"/>
    <w:rsid w:val="003304CF"/>
    <w:rsid w:val="003328DB"/>
    <w:rsid w:val="00370674"/>
    <w:rsid w:val="00395C7E"/>
    <w:rsid w:val="003A0B36"/>
    <w:rsid w:val="003E3D72"/>
    <w:rsid w:val="00413B25"/>
    <w:rsid w:val="004253B0"/>
    <w:rsid w:val="004318D7"/>
    <w:rsid w:val="004877A7"/>
    <w:rsid w:val="004C16A4"/>
    <w:rsid w:val="005105FB"/>
    <w:rsid w:val="0052227C"/>
    <w:rsid w:val="00564278"/>
    <w:rsid w:val="00585922"/>
    <w:rsid w:val="005A00D4"/>
    <w:rsid w:val="005E64B3"/>
    <w:rsid w:val="0064671D"/>
    <w:rsid w:val="006546A8"/>
    <w:rsid w:val="006955B7"/>
    <w:rsid w:val="00697C52"/>
    <w:rsid w:val="006A23CB"/>
    <w:rsid w:val="006B191D"/>
    <w:rsid w:val="00725B7B"/>
    <w:rsid w:val="0076260E"/>
    <w:rsid w:val="007C0F84"/>
    <w:rsid w:val="007E13E5"/>
    <w:rsid w:val="007E278C"/>
    <w:rsid w:val="00805139"/>
    <w:rsid w:val="0084691B"/>
    <w:rsid w:val="008B3D18"/>
    <w:rsid w:val="008C08A7"/>
    <w:rsid w:val="008E7ED2"/>
    <w:rsid w:val="008F113A"/>
    <w:rsid w:val="009172D6"/>
    <w:rsid w:val="009224A8"/>
    <w:rsid w:val="009263AF"/>
    <w:rsid w:val="00A32DA6"/>
    <w:rsid w:val="00A70640"/>
    <w:rsid w:val="00A73B6C"/>
    <w:rsid w:val="00A74890"/>
    <w:rsid w:val="00B23C09"/>
    <w:rsid w:val="00B32302"/>
    <w:rsid w:val="00B60996"/>
    <w:rsid w:val="00B6433D"/>
    <w:rsid w:val="00B86EA6"/>
    <w:rsid w:val="00BF6712"/>
    <w:rsid w:val="00C442EC"/>
    <w:rsid w:val="00C47BD5"/>
    <w:rsid w:val="00C66287"/>
    <w:rsid w:val="00C765A4"/>
    <w:rsid w:val="00C93A85"/>
    <w:rsid w:val="00CA3829"/>
    <w:rsid w:val="00CD2461"/>
    <w:rsid w:val="00D32FBB"/>
    <w:rsid w:val="00D34E43"/>
    <w:rsid w:val="00DA4F5D"/>
    <w:rsid w:val="00DA727E"/>
    <w:rsid w:val="00DF6505"/>
    <w:rsid w:val="00E43FF0"/>
    <w:rsid w:val="00E906E6"/>
    <w:rsid w:val="00EC3DC0"/>
    <w:rsid w:val="00EE1E2B"/>
    <w:rsid w:val="00F53CF4"/>
    <w:rsid w:val="00FC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780"/>
  <w15:chartTrackingRefBased/>
  <w15:docId w15:val="{9C00025F-8FA2-4921-A018-E61A3DEF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C0"/>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C3DC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B3230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2302"/>
    <w:rPr>
      <w:rFonts w:ascii="Segoe UI" w:hAnsi="Segoe UI" w:cs="Segoe UI"/>
      <w:sz w:val="18"/>
      <w:szCs w:val="18"/>
      <w:lang w:val="ro-RO"/>
    </w:rPr>
  </w:style>
  <w:style w:type="paragraph" w:styleId="Frspaiere">
    <w:name w:val="No Spacing"/>
    <w:uiPriority w:val="1"/>
    <w:qFormat/>
    <w:rsid w:val="00143085"/>
    <w:pPr>
      <w:spacing w:after="0" w:line="240" w:lineRule="auto"/>
    </w:pPr>
    <w:rPr>
      <w:lang w:val="ro-RO"/>
    </w:rPr>
  </w:style>
  <w:style w:type="character" w:styleId="Hyperlink">
    <w:name w:val="Hyperlink"/>
    <w:basedOn w:val="Fontdeparagrafimplicit"/>
    <w:uiPriority w:val="99"/>
    <w:unhideWhenUsed/>
    <w:rsid w:val="0052227C"/>
    <w:rPr>
      <w:color w:val="0563C1" w:themeColor="hyperlink"/>
      <w:u w:val="single"/>
    </w:rPr>
  </w:style>
  <w:style w:type="character" w:customStyle="1" w:styleId="MeniuneNerezolvat1">
    <w:name w:val="Mențiune Nerezolvat1"/>
    <w:basedOn w:val="Fontdeparagrafimplicit"/>
    <w:uiPriority w:val="99"/>
    <w:semiHidden/>
    <w:unhideWhenUsed/>
    <w:rsid w:val="0052227C"/>
    <w:rPr>
      <w:color w:val="605E5C"/>
      <w:shd w:val="clear" w:color="auto" w:fill="E1DFDD"/>
    </w:rPr>
  </w:style>
  <w:style w:type="paragraph" w:styleId="Listparagraf">
    <w:name w:val="List Paragraph"/>
    <w:basedOn w:val="Normal"/>
    <w:uiPriority w:val="34"/>
    <w:qFormat/>
    <w:rsid w:val="00321291"/>
    <w:pPr>
      <w:ind w:left="720"/>
      <w:contextualSpacing/>
    </w:pPr>
  </w:style>
  <w:style w:type="character" w:styleId="MeniuneNerezolvat">
    <w:name w:val="Unresolved Mention"/>
    <w:basedOn w:val="Fontdeparagrafimplicit"/>
    <w:uiPriority w:val="99"/>
    <w:semiHidden/>
    <w:unhideWhenUsed/>
    <w:rsid w:val="00413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privind-initierea-elaborarii-analizei-impactului-de-reglementare-si-proiectului-de-hotarare-cu-privire-la-modificarea-hotararii-guvernului-nr4132013-pentru-aprobarea-regulamentului-privind-testarea-si-admiterea-soiurilor-in-catalogul-soiurilor-de-plante/11801"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4</Pages>
  <Words>1548</Words>
  <Characters>8985</Characters>
  <Application>Microsoft Office Word</Application>
  <DocSecurity>0</DocSecurity>
  <Lines>74</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Grigore BALTAG</cp:lastModifiedBy>
  <cp:revision>9</cp:revision>
  <cp:lastPrinted>2023-12-08T07:34:00Z</cp:lastPrinted>
  <dcterms:created xsi:type="dcterms:W3CDTF">2024-03-03T10:19:00Z</dcterms:created>
  <dcterms:modified xsi:type="dcterms:W3CDTF">2024-06-11T15:13:00Z</dcterms:modified>
</cp:coreProperties>
</file>