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D8FB2" w14:textId="77777777" w:rsidR="005A6977" w:rsidRPr="00620032" w:rsidRDefault="005A6977" w:rsidP="00D126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62003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14:paraId="6EB53468" w14:textId="1E2D9C31" w:rsidR="00113043" w:rsidRPr="00107CFE" w:rsidRDefault="005A6977" w:rsidP="00113043">
      <w:pPr>
        <w:pStyle w:val="Heading4"/>
        <w:shd w:val="clear" w:color="auto" w:fill="FFFFFF"/>
        <w:spacing w:before="165" w:after="165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</w:pPr>
      <w:r w:rsidRPr="00107CF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 xml:space="preserve">la </w:t>
      </w:r>
      <w:r w:rsidR="00DF710D" w:rsidRPr="00107CF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 xml:space="preserve">proiectul </w:t>
      </w:r>
      <w:r w:rsidR="00113043" w:rsidRPr="00107CF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>Hotărârii Guvernului de modificare a Hotărârii Guvernului  nr. 347/2022 cu privire la aprobarea Programului na</w:t>
      </w:r>
      <w:r w:rsidR="00F5250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>ț</w:t>
      </w:r>
      <w:r w:rsidR="00113043" w:rsidRPr="00107CF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>ional pentru protecția copilului pe anii 2022-2026</w:t>
      </w:r>
      <w:r w:rsidR="00C14F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 xml:space="preserve"> </w:t>
      </w:r>
      <w:r w:rsidR="00C14F4B" w:rsidRPr="00C14F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>și a</w:t>
      </w:r>
      <w:r w:rsidR="00C14F4B">
        <w:rPr>
          <w:color w:val="000000" w:themeColor="text1"/>
          <w:lang w:val="ro-RO"/>
        </w:rPr>
        <w:t xml:space="preserve"> </w:t>
      </w:r>
      <w:r w:rsidR="00C14F4B" w:rsidRPr="00C14F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t>Planului de acțiuni pentru implementarea acestuia</w:t>
      </w:r>
      <w:r w:rsidR="00113043" w:rsidRPr="00107CF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o-RO"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25894" w:rsidRPr="00C836E6" w14:paraId="5F0A469F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0E36954C" w14:textId="77777777" w:rsidR="005A6977" w:rsidRPr="00C836E6" w:rsidRDefault="005A6977" w:rsidP="00107CFE">
            <w:pPr>
              <w:pStyle w:val="ListParagraph"/>
              <w:numPr>
                <w:ilvl w:val="0"/>
                <w:numId w:val="1"/>
              </w:numPr>
              <w:ind w:left="29" w:right="170"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autorului și, după caz, a participanților la elaborarea proiectului</w:t>
            </w:r>
          </w:p>
        </w:tc>
      </w:tr>
      <w:tr w:rsidR="00025894" w:rsidRPr="00C836E6" w14:paraId="580912EF" w14:textId="77777777" w:rsidTr="00107CFE">
        <w:trPr>
          <w:trHeight w:val="20"/>
        </w:trPr>
        <w:tc>
          <w:tcPr>
            <w:tcW w:w="9634" w:type="dxa"/>
          </w:tcPr>
          <w:p w14:paraId="28441C94" w14:textId="30BEA765" w:rsidR="008D75E6" w:rsidRPr="00113043" w:rsidRDefault="00DF710D" w:rsidP="00C14F4B">
            <w:pPr>
              <w:pStyle w:val="Heading4"/>
              <w:shd w:val="clear" w:color="auto" w:fill="FFFFFF"/>
              <w:spacing w:before="165" w:after="165"/>
              <w:ind w:left="29" w:right="170" w:firstLine="284"/>
              <w:jc w:val="both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</w:pPr>
            <w:r w:rsidRPr="0011304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113043" w:rsidRPr="0011304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>Hotărârii Guvernului de modificare a Hotărârii Guvernului  nr. 347/2022 cu privire la aprobarea Programului na</w:t>
            </w:r>
            <w:r w:rsidR="0011304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>ț</w:t>
            </w:r>
            <w:r w:rsidR="00113043" w:rsidRPr="0011304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>ional pentru protecția copilului pe anii 2022-2026</w:t>
            </w:r>
            <w:r w:rsidR="00107CFE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14F4B" w:rsidRPr="00C14F4B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 xml:space="preserve">și a Planului de acțiuni pentru implementarea acestuia </w:t>
            </w:r>
            <w:r w:rsidR="005A6977" w:rsidRPr="0011304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>este elaborat de către Ministerul Ed</w:t>
            </w:r>
            <w:r w:rsidR="00866FAE" w:rsidRPr="0011304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>ucației și Cercetării</w:t>
            </w:r>
            <w:r w:rsidR="00C14F4B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025894" w:rsidRPr="00C836E6" w14:paraId="77E0283E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6F284B5D" w14:textId="77777777" w:rsidR="005A6977" w:rsidRPr="00C836E6" w:rsidRDefault="005A6977" w:rsidP="00107CFE">
            <w:pPr>
              <w:pStyle w:val="ListParagraph"/>
              <w:numPr>
                <w:ilvl w:val="0"/>
                <w:numId w:val="1"/>
              </w:numPr>
              <w:ind w:left="29" w:right="170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Condițiile ce au impus elaborarea proiectului de act normativ și finalitățile urmărite</w:t>
            </w:r>
          </w:p>
        </w:tc>
      </w:tr>
      <w:tr w:rsidR="00025894" w:rsidRPr="00113043" w14:paraId="47ED2A83" w14:textId="77777777" w:rsidTr="00107CFE">
        <w:trPr>
          <w:trHeight w:val="2405"/>
        </w:trPr>
        <w:tc>
          <w:tcPr>
            <w:tcW w:w="9634" w:type="dxa"/>
          </w:tcPr>
          <w:p w14:paraId="160ABDA3" w14:textId="61FAA354" w:rsidR="007E3AB6" w:rsidRPr="007E3AB6" w:rsidRDefault="007E3AB6" w:rsidP="00107CFE">
            <w:pPr>
              <w:spacing w:before="120"/>
              <w:ind w:left="29" w:right="170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Republica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Moldova,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primul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E3A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Plan de </w:t>
            </w:r>
            <w:proofErr w:type="spellStart"/>
            <w:r w:rsidRPr="007E3A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acţiuni</w:t>
            </w:r>
            <w:proofErr w:type="spellEnd"/>
            <w:r w:rsidRPr="007E3A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privind promovarea siguranței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pe Internet a copiilor </w:t>
            </w:r>
            <w:r w:rsidRPr="007E3A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și adolescenților pentru anii 2017-2020, aprobat prin Hotărârea Gu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vernului nr. 212/2017 a expirat. </w:t>
            </w:r>
          </w:p>
          <w:p w14:paraId="0513FCB0" w14:textId="255CEC52" w:rsidR="0041469A" w:rsidRDefault="00C45EFF" w:rsidP="00107CFE">
            <w:pPr>
              <w:spacing w:before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Totodată, în </w:t>
            </w:r>
            <w:r w:rsidR="0041469A"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corespundere cu acțiunea nr. 13 din Planul de acțiuni pentru implementarea Programului național pentru protecția copilului pe anii 2022-2026 (Hotărârea Guvernului nr. 347/2022)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urmează ca Ministerul Educației și Cercetării să elaboreze și asigure aprobarea 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Planul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ui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național pentru siguranța online a copiilor pentru perioada 2024-2026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</w:p>
          <w:p w14:paraId="0F0A554C" w14:textId="676B40F5" w:rsidR="001A032A" w:rsidRDefault="00F70065" w:rsidP="00107CFE">
            <w:pPr>
              <w:pStyle w:val="NormalWeb"/>
              <w:shd w:val="clear" w:color="auto" w:fill="FFFFFF"/>
              <w:spacing w:before="12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>
              <w:rPr>
                <w:rFonts w:eastAsiaTheme="minorHAnsi"/>
                <w:color w:val="000000" w:themeColor="text1"/>
                <w:lang w:val="ro-RO"/>
              </w:rPr>
              <w:t>Implementarea</w:t>
            </w:r>
            <w:r w:rsidR="00FC2144">
              <w:rPr>
                <w:rFonts w:eastAsiaTheme="minorHAnsi"/>
                <w:color w:val="000000" w:themeColor="text1"/>
                <w:lang w:val="ro-RO"/>
              </w:rPr>
              <w:t xml:space="preserve"> proiectului</w:t>
            </w:r>
            <w:r w:rsidR="001A032A">
              <w:rPr>
                <w:rFonts w:eastAsiaTheme="minorHAnsi"/>
                <w:color w:val="000000" w:themeColor="text1"/>
                <w:lang w:val="ro-RO"/>
              </w:rPr>
              <w:t xml:space="preserve"> </w:t>
            </w:r>
            <w:r w:rsidR="00FC2144" w:rsidRPr="0041469A">
              <w:rPr>
                <w:color w:val="000000" w:themeColor="text1"/>
                <w:lang w:val="ro-RO"/>
              </w:rPr>
              <w:t>Planul</w:t>
            </w:r>
            <w:r w:rsidR="00FC2144">
              <w:rPr>
                <w:color w:val="000000" w:themeColor="text1"/>
                <w:lang w:val="ro-RO"/>
              </w:rPr>
              <w:t>ui</w:t>
            </w:r>
            <w:r w:rsidR="00FC2144" w:rsidRPr="0041469A">
              <w:rPr>
                <w:color w:val="000000" w:themeColor="text1"/>
                <w:lang w:val="ro-RO"/>
              </w:rPr>
              <w:t xml:space="preserve"> național pentru siguranța online a copiilor pentru perioada 2024-2026</w:t>
            </w:r>
            <w:r w:rsidR="00FC2144">
              <w:rPr>
                <w:color w:val="000000" w:themeColor="text1"/>
                <w:lang w:val="ro-RO"/>
              </w:rPr>
              <w:t xml:space="preserve"> </w:t>
            </w:r>
            <w:r>
              <w:rPr>
                <w:color w:val="000000" w:themeColor="text1"/>
                <w:lang w:val="ro-RO"/>
              </w:rPr>
              <w:t>va asigura:</w:t>
            </w:r>
          </w:p>
          <w:p w14:paraId="4253FDA9" w14:textId="0C69BBFD" w:rsidR="001A032A" w:rsidRPr="001A032A" w:rsidRDefault="001A032A" w:rsidP="00107CFE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>Protejarea drepturilor copiilor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 xml:space="preserve">: Copiii au dreptul la un mediu online sigur și sănătos, similar drepturilor lor în mediul offline. Un plan național dedicat </w:t>
            </w:r>
            <w:r w:rsidR="00F70065">
              <w:rPr>
                <w:rFonts w:eastAsiaTheme="minorHAnsi"/>
                <w:color w:val="000000" w:themeColor="text1"/>
                <w:lang w:val="ro-RO"/>
              </w:rPr>
              <w:t xml:space="preserve">va 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>asigur că aceste drepturi sunt protejate și promovate în mediul digital.</w:t>
            </w:r>
          </w:p>
          <w:p w14:paraId="2B3701DB" w14:textId="63789238" w:rsidR="001A032A" w:rsidRPr="001A032A" w:rsidRDefault="00F70065" w:rsidP="00107CFE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val="ro-RO"/>
              </w:rPr>
              <w:t>Minimizarea e</w:t>
            </w:r>
            <w:r w:rsidR="001A032A"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>xpuner</w:t>
            </w:r>
            <w:r>
              <w:rPr>
                <w:rFonts w:eastAsiaTheme="minorHAnsi"/>
                <w:b/>
                <w:bCs/>
                <w:color w:val="000000" w:themeColor="text1"/>
                <w:lang w:val="ro-RO"/>
              </w:rPr>
              <w:t>ii</w:t>
            </w:r>
            <w:r w:rsidR="001A032A"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 la riscuri online</w:t>
            </w:r>
            <w:r w:rsidR="001A032A" w:rsidRPr="001A032A">
              <w:rPr>
                <w:rFonts w:eastAsiaTheme="minorHAnsi"/>
                <w:color w:val="000000" w:themeColor="text1"/>
                <w:lang w:val="ro-RO"/>
              </w:rPr>
              <w:t xml:space="preserve">: Mediul online </w:t>
            </w:r>
            <w:r>
              <w:rPr>
                <w:rFonts w:eastAsiaTheme="minorHAnsi"/>
                <w:color w:val="000000" w:themeColor="text1"/>
                <w:lang w:val="ro-RO"/>
              </w:rPr>
              <w:t>este plin de</w:t>
            </w:r>
            <w:r w:rsidR="001A032A" w:rsidRPr="001A032A">
              <w:rPr>
                <w:rFonts w:eastAsiaTheme="minorHAnsi"/>
                <w:color w:val="000000" w:themeColor="text1"/>
                <w:lang w:val="ro-RO"/>
              </w:rPr>
              <w:t xml:space="preserve"> riscuri pentru copii, cum ar fi conținutul inadecvat, contactul cu străinii sau expunerea la </w:t>
            </w:r>
            <w:proofErr w:type="spellStart"/>
            <w:r w:rsidR="001A032A" w:rsidRPr="001A032A">
              <w:rPr>
                <w:rFonts w:eastAsiaTheme="minorHAnsi"/>
                <w:color w:val="000000" w:themeColor="text1"/>
                <w:lang w:val="ro-RO"/>
              </w:rPr>
              <w:t>cyberbullying</w:t>
            </w:r>
            <w:proofErr w:type="spellEnd"/>
            <w:r w:rsidR="001A032A" w:rsidRPr="001A032A">
              <w:rPr>
                <w:rFonts w:eastAsiaTheme="minorHAnsi"/>
                <w:color w:val="000000" w:themeColor="text1"/>
                <w:lang w:val="ro-RO"/>
              </w:rPr>
              <w:t xml:space="preserve">. Un plan național </w:t>
            </w:r>
            <w:r>
              <w:rPr>
                <w:rFonts w:eastAsiaTheme="minorHAnsi"/>
                <w:color w:val="000000" w:themeColor="text1"/>
                <w:lang w:val="ro-RO"/>
              </w:rPr>
              <w:t xml:space="preserve">va </w:t>
            </w:r>
            <w:r w:rsidR="001A032A" w:rsidRPr="001A032A">
              <w:rPr>
                <w:rFonts w:eastAsiaTheme="minorHAnsi"/>
                <w:color w:val="000000" w:themeColor="text1"/>
                <w:lang w:val="ro-RO"/>
              </w:rPr>
              <w:t>abord</w:t>
            </w:r>
            <w:r>
              <w:rPr>
                <w:rFonts w:eastAsiaTheme="minorHAnsi"/>
                <w:color w:val="000000" w:themeColor="text1"/>
                <w:lang w:val="ro-RO"/>
              </w:rPr>
              <w:t>a</w:t>
            </w:r>
            <w:r w:rsidR="001A032A" w:rsidRPr="001A032A">
              <w:rPr>
                <w:rFonts w:eastAsiaTheme="minorHAnsi"/>
                <w:color w:val="000000" w:themeColor="text1"/>
                <w:lang w:val="ro-RO"/>
              </w:rPr>
              <w:t xml:space="preserve"> aceste riscuri și </w:t>
            </w:r>
            <w:r>
              <w:rPr>
                <w:rFonts w:eastAsiaTheme="minorHAnsi"/>
                <w:color w:val="000000" w:themeColor="text1"/>
                <w:lang w:val="ro-RO"/>
              </w:rPr>
              <w:t>va oferi</w:t>
            </w:r>
            <w:r w:rsidR="001A032A" w:rsidRPr="001A032A">
              <w:rPr>
                <w:rFonts w:eastAsiaTheme="minorHAnsi"/>
                <w:color w:val="000000" w:themeColor="text1"/>
                <w:lang w:val="ro-RO"/>
              </w:rPr>
              <w:t xml:space="preserve"> strategii pentru a le gestiona eficient.</w:t>
            </w:r>
          </w:p>
          <w:p w14:paraId="784EF0A4" w14:textId="1F38101D" w:rsidR="001A032A" w:rsidRPr="001A032A" w:rsidRDefault="001A032A" w:rsidP="00107CFE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Creșterea </w:t>
            </w:r>
            <w:r w:rsidR="00F70065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responsabilității </w:t>
            </w:r>
            <w:r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>utilizării internetului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 xml:space="preserve">: Copiii petrec din ce în ce mai mult timp online, iar utilizarea internetului începe de la o vârstă tot mai fragedă. Este important să existe </w:t>
            </w:r>
            <w:r w:rsidR="00920130">
              <w:rPr>
                <w:rFonts w:eastAsiaTheme="minorHAnsi"/>
                <w:color w:val="000000" w:themeColor="text1"/>
                <w:lang w:val="ro-RO"/>
              </w:rPr>
              <w:t>suficiente resurse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 xml:space="preserve"> și politici care să îi protejeze și să îi educe în privința unui comportament responsabil online.</w:t>
            </w:r>
          </w:p>
          <w:p w14:paraId="0772CBBA" w14:textId="2EA329B0" w:rsidR="001A032A" w:rsidRPr="001A032A" w:rsidRDefault="001A032A" w:rsidP="00107CFE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>Nevoia de educație și conștientizare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 xml:space="preserve">: Mulți copii și părinți nu sunt conștienți de riscurile și de modalitățile de a naviga în siguranță pe internet. Un plan național include </w:t>
            </w:r>
            <w:r w:rsidR="00B96F57">
              <w:rPr>
                <w:rFonts w:eastAsiaTheme="minorHAnsi"/>
                <w:color w:val="000000" w:themeColor="text1"/>
                <w:lang w:val="ro-RO"/>
              </w:rPr>
              <w:t>activități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 xml:space="preserve"> de educație și conștientizare pentru a informa atât copiii, cât și adulții despre siguranța online.</w:t>
            </w:r>
          </w:p>
          <w:p w14:paraId="59FE53B1" w14:textId="77777777" w:rsidR="001A032A" w:rsidRPr="001A032A" w:rsidRDefault="001A032A" w:rsidP="00107CFE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>Necesitatea unei abordări integrate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>: Siguranța online a copiilor implică atât educația și conștientizarea, cât și implicarea sectorului privat, guvernului și a altor părți interesate. Un plan național oferă un cadru pentru colaborarea între aceste sectoare și pentru a dezvolta strategii integrate pentru protejarea copiilor.</w:t>
            </w:r>
          </w:p>
          <w:p w14:paraId="0CDDA531" w14:textId="77777777" w:rsidR="001A032A" w:rsidRPr="001A032A" w:rsidRDefault="001A032A" w:rsidP="00107CFE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 w:rsidRPr="001A032A">
              <w:rPr>
                <w:rFonts w:eastAsiaTheme="minorHAnsi"/>
                <w:b/>
                <w:bCs/>
                <w:color w:val="000000" w:themeColor="text1"/>
                <w:lang w:val="ro-RO"/>
              </w:rPr>
              <w:t>Evitarea unei reglementări excesive</w:t>
            </w:r>
            <w:r w:rsidRPr="001A032A">
              <w:rPr>
                <w:rFonts w:eastAsiaTheme="minorHAnsi"/>
                <w:color w:val="000000" w:themeColor="text1"/>
                <w:lang w:val="ro-RO"/>
              </w:rPr>
              <w:t>: Prin implementarea unui plan național, se poate evita reglementarea excesivă și se poate promova o abordare echilibrată între protejarea copiilor și respectarea libertății online.</w:t>
            </w:r>
          </w:p>
          <w:p w14:paraId="3CB369B8" w14:textId="23E6CAA3" w:rsidR="008C39BF" w:rsidRDefault="001A032A" w:rsidP="00F87718">
            <w:pPr>
              <w:pStyle w:val="NormalWeb"/>
              <w:shd w:val="clear" w:color="auto" w:fill="FFFFFF"/>
              <w:spacing w:before="300" w:beforeAutospacing="0" w:after="0" w:afterAutospacing="0"/>
              <w:ind w:left="29" w:right="170" w:firstLine="284"/>
              <w:jc w:val="both"/>
              <w:rPr>
                <w:rFonts w:eastAsiaTheme="minorHAnsi"/>
                <w:color w:val="000000" w:themeColor="text1"/>
                <w:lang w:val="ro-RO"/>
              </w:rPr>
            </w:pPr>
            <w:r w:rsidRPr="00B96F57">
              <w:rPr>
                <w:rFonts w:eastAsiaTheme="minorHAnsi"/>
                <w:color w:val="000000" w:themeColor="text1"/>
                <w:lang w:val="ro-RO"/>
              </w:rPr>
              <w:t xml:space="preserve">În concluzie, un </w:t>
            </w:r>
            <w:r w:rsidR="00FC2144">
              <w:rPr>
                <w:color w:val="000000" w:themeColor="text1"/>
                <w:lang w:val="ro-RO"/>
              </w:rPr>
              <w:t xml:space="preserve">Plan </w:t>
            </w:r>
            <w:r w:rsidR="00FC2144" w:rsidRPr="0041469A">
              <w:rPr>
                <w:color w:val="000000" w:themeColor="text1"/>
                <w:lang w:val="ro-RO"/>
              </w:rPr>
              <w:t>național pentru siguranța online a copiilor pentru perioada 2024-2026</w:t>
            </w:r>
            <w:r w:rsidR="00FC2144">
              <w:rPr>
                <w:color w:val="000000" w:themeColor="text1"/>
                <w:lang w:val="ro-RO"/>
              </w:rPr>
              <w:t xml:space="preserve"> </w:t>
            </w:r>
            <w:r w:rsidRPr="00B96F57">
              <w:rPr>
                <w:rFonts w:eastAsiaTheme="minorHAnsi"/>
                <w:color w:val="000000" w:themeColor="text1"/>
                <w:lang w:val="ro-RO"/>
              </w:rPr>
              <w:t>este esențial pentru a asigura că copiii au acces la un mediu online sigur și sănătos și că sunt protejați de riscurile asociate utilizării internetului.</w:t>
            </w:r>
          </w:p>
          <w:p w14:paraId="195E0B88" w14:textId="46C4C059" w:rsidR="007300E6" w:rsidRPr="007300E6" w:rsidRDefault="007300E6" w:rsidP="00107CFE">
            <w:pPr>
              <w:pStyle w:val="ListParagraph"/>
              <w:ind w:left="29" w:right="170" w:firstLine="284"/>
              <w:jc w:val="both"/>
              <w:rPr>
                <w:rFonts w:ascii="Times New Roman" w:eastAsia="Times New Roman" w:hAnsi="Times New Roman" w:cs="Times New Roman"/>
                <w:spacing w:val="-1"/>
                <w:sz w:val="8"/>
                <w:szCs w:val="24"/>
                <w:lang w:val="ro-RO"/>
              </w:rPr>
            </w:pPr>
          </w:p>
        </w:tc>
      </w:tr>
      <w:tr w:rsidR="00131A27" w:rsidRPr="00C836E6" w14:paraId="33C533CC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3B11C527" w14:textId="4F1DD416" w:rsidR="00131A27" w:rsidRPr="00C836E6" w:rsidRDefault="00131A27" w:rsidP="00107CFE">
            <w:pPr>
              <w:pStyle w:val="ListParagraph"/>
              <w:numPr>
                <w:ilvl w:val="0"/>
                <w:numId w:val="1"/>
              </w:numPr>
              <w:ind w:left="29" w:right="170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Descrierea gradului de compatibilitate pentru proiectele care au ca scop armonizarea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legislaţiei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naţionale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legislaţia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Uniunii Europene</w:t>
            </w:r>
          </w:p>
        </w:tc>
      </w:tr>
      <w:tr w:rsidR="00131A27" w:rsidRPr="00107CFE" w14:paraId="7C329674" w14:textId="77777777" w:rsidTr="00107CFE">
        <w:trPr>
          <w:trHeight w:val="1695"/>
        </w:trPr>
        <w:tc>
          <w:tcPr>
            <w:tcW w:w="9634" w:type="dxa"/>
          </w:tcPr>
          <w:p w14:paraId="4CF29BCA" w14:textId="102080BC" w:rsidR="002761F0" w:rsidRPr="001905D7" w:rsidRDefault="002761F0" w:rsidP="00107CFE">
            <w:pPr>
              <w:pStyle w:val="ListParagraph"/>
              <w:ind w:left="29" w:right="17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La 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proiectului Planului național pentru siguranța online a copiilor pentru perioada 2024-2026 s-a ținut cont de recomandările Deciziei nr. 1351/2008/CE a Parlamentului European și a Consiliului din 16 decembrie 2008 de stabilire a unui program comunitar multianual privind protecția copiilor care utilizează internetul și alte tehnologii de comunicare</w:t>
            </w:r>
            <w:r w:rsidR="00107CF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hyperlink r:id="rId7" w:history="1">
              <w:r w:rsidR="00107CFE" w:rsidRPr="000B6FA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https://eur-lex.europa.eu/legal-content/EN/ALL/?uri=CELEX:32008D1351&amp;qid=1696327225416</w:t>
              </w:r>
            </w:hyperlink>
            <w:r w:rsidRPr="001905D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o-RO"/>
              </w:rPr>
              <w:t>)</w:t>
            </w:r>
          </w:p>
          <w:p w14:paraId="63C79F2E" w14:textId="79372B7E" w:rsidR="007300E6" w:rsidRPr="002761F0" w:rsidRDefault="007300E6" w:rsidP="00107CFE">
            <w:pPr>
              <w:spacing w:before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4"/>
                <w:lang w:val="ro-RO"/>
              </w:rPr>
            </w:pPr>
          </w:p>
        </w:tc>
      </w:tr>
      <w:tr w:rsidR="00025894" w:rsidRPr="00C836E6" w14:paraId="2D55EE4D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7084AFB7" w14:textId="77777777" w:rsidR="005A6977" w:rsidRPr="00C836E6" w:rsidRDefault="005A6977" w:rsidP="00107CFE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29" w:right="170"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Principalele prevederi ale proiectului și evidențierea elementelor noi</w:t>
            </w:r>
          </w:p>
        </w:tc>
      </w:tr>
      <w:tr w:rsidR="00025894" w:rsidRPr="00C836E6" w14:paraId="4AF6ACDE" w14:textId="77777777" w:rsidTr="00107CFE">
        <w:trPr>
          <w:trHeight w:val="6219"/>
        </w:trPr>
        <w:tc>
          <w:tcPr>
            <w:tcW w:w="9634" w:type="dxa"/>
          </w:tcPr>
          <w:p w14:paraId="704126A3" w14:textId="171198EF" w:rsidR="00FC2144" w:rsidRDefault="00FC2144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bookmarkStart w:id="0" w:name="_Hlk141259510"/>
            <w:r w:rsidRPr="00FC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Hotărârii Guvernului de modificare a Hotărârii Guvernului  nr. 347/2022 cu privire la aprobarea Programului național pentru protecția copilului pe anii 2022-2026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prevede completarea </w:t>
            </w:r>
            <w:r w:rsidRPr="00FC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acestuia cu </w:t>
            </w:r>
            <w:r w:rsidR="004C3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Anexa nr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„Planul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național pentru siguranța online a copiilor pentru perioada 2024-2026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”.</w:t>
            </w:r>
          </w:p>
          <w:p w14:paraId="21598F5E" w14:textId="73BC6680" w:rsidR="005E3614" w:rsidRPr="005E3614" w:rsidRDefault="005E3614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Planul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național pentru siguranța online a copiilor pentru perioada 2024-2026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are ca o</w:t>
            </w:r>
            <w:r w:rsidRPr="005E3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biectiv general stabilirea în cadrul național normativ a mecanismelor de intervenție promptă și eficientă a sistemului de protecție la nevoile fiecărui copil, în conformitate cu prevederile Convenției ONU cu privire la drepturile copilului, Acordului de Asociere și altor mecanisme internaționale, asigurând implementarea deplină a recomandărilor acestora, fapt confirmat de Platforma de monitorizare a recomandărilor internaționale privind drepturile omului în Moldova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bookmarkEnd w:id="0"/>
          <w:p w14:paraId="1392CF01" w14:textId="318DAF69" w:rsidR="00786A45" w:rsidRPr="0082049E" w:rsidRDefault="00786A45" w:rsidP="00107CFE">
            <w:pPr>
              <w:pStyle w:val="BodyText"/>
              <w:tabs>
                <w:tab w:val="left" w:pos="426"/>
                <w:tab w:val="left" w:pos="810"/>
              </w:tabs>
              <w:ind w:left="29" w:right="170"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82049E">
              <w:rPr>
                <w:rFonts w:cs="Times New Roman"/>
                <w:bCs/>
                <w:sz w:val="24"/>
                <w:szCs w:val="24"/>
                <w:lang w:val="ro-RO"/>
              </w:rPr>
              <w:t xml:space="preserve">De asemenea, </w:t>
            </w:r>
            <w:r w:rsidR="0082049E" w:rsidRPr="0082049E">
              <w:rPr>
                <w:rFonts w:cs="Times New Roman"/>
                <w:bCs/>
                <w:sz w:val="24"/>
                <w:szCs w:val="24"/>
                <w:lang w:val="ro-RO"/>
              </w:rPr>
              <w:t>activitățile planificate sunt orientate spre atingerea a 5 o</w:t>
            </w:r>
            <w:r w:rsidRPr="0082049E">
              <w:rPr>
                <w:rFonts w:cs="Times New Roman"/>
                <w:bCs/>
                <w:sz w:val="24"/>
                <w:szCs w:val="24"/>
                <w:lang w:val="ro-RO"/>
              </w:rPr>
              <w:t>biectiv</w:t>
            </w:r>
            <w:r w:rsidR="0082049E">
              <w:rPr>
                <w:rFonts w:cs="Times New Roman"/>
                <w:bCs/>
                <w:sz w:val="24"/>
                <w:szCs w:val="24"/>
                <w:lang w:val="ro-RO"/>
              </w:rPr>
              <w:t>e</w:t>
            </w:r>
            <w:r w:rsidRPr="0082049E">
              <w:rPr>
                <w:rFonts w:cs="Times New Roman"/>
                <w:bCs/>
                <w:sz w:val="24"/>
                <w:szCs w:val="24"/>
                <w:lang w:val="ro-RO"/>
              </w:rPr>
              <w:t xml:space="preserve"> specifice :</w:t>
            </w:r>
          </w:p>
          <w:p w14:paraId="0DFA9CBC" w14:textId="2EE17CE4" w:rsidR="007300E6" w:rsidRPr="0082049E" w:rsidRDefault="00786A45" w:rsidP="00107CFE">
            <w:pPr>
              <w:pStyle w:val="BodyText"/>
              <w:numPr>
                <w:ilvl w:val="0"/>
                <w:numId w:val="16"/>
              </w:numPr>
              <w:tabs>
                <w:tab w:val="left" w:pos="426"/>
              </w:tabs>
              <w:ind w:left="29" w:right="170" w:firstLine="284"/>
              <w:jc w:val="both"/>
              <w:rPr>
                <w:spacing w:val="-2"/>
                <w:sz w:val="24"/>
                <w:szCs w:val="24"/>
                <w:lang w:val="ro-RO"/>
              </w:rPr>
            </w:pPr>
            <w:r w:rsidRPr="0082049E">
              <w:rPr>
                <w:rFonts w:cs="Times New Roman"/>
                <w:bCs/>
                <w:sz w:val="24"/>
                <w:szCs w:val="24"/>
                <w:lang w:val="ro-RO"/>
              </w:rPr>
              <w:t>Către anul 2026 legislația națională este ajustată la prevederile Directivei 2011/93/UE a Parlamentului European și a Consiliului din 13 decembrie 2011 privind combaterea abuzului sexual asupra copiilor, a exploatării sexuale a copiilor și a pornografiei infantile, precum și la prevederile altor standarde internaționale;</w:t>
            </w:r>
          </w:p>
          <w:p w14:paraId="4E2D6147" w14:textId="5BD8ABB1" w:rsidR="00786A45" w:rsidRPr="0082049E" w:rsidRDefault="00786A45" w:rsidP="00107CFE">
            <w:pPr>
              <w:pStyle w:val="BodyText"/>
              <w:numPr>
                <w:ilvl w:val="0"/>
                <w:numId w:val="16"/>
              </w:numPr>
              <w:tabs>
                <w:tab w:val="left" w:pos="426"/>
              </w:tabs>
              <w:ind w:left="29" w:right="170" w:firstLine="284"/>
              <w:jc w:val="both"/>
              <w:rPr>
                <w:spacing w:val="-2"/>
                <w:sz w:val="24"/>
                <w:szCs w:val="24"/>
                <w:lang w:val="ro-RO"/>
              </w:rPr>
            </w:pPr>
            <w:r w:rsidRPr="0082049E">
              <w:rPr>
                <w:rFonts w:cs="Times New Roman"/>
                <w:bCs/>
                <w:sz w:val="24"/>
                <w:szCs w:val="24"/>
                <w:lang w:val="ro-RO"/>
              </w:rPr>
              <w:t>Serviciile de raportare a cazurilor de abuz și exploatare sexuală în mediul online a copiilor sunt funcționale și accesibile pentru publicul larg, companiile din sectorul privat TIC și copiii victime;</w:t>
            </w:r>
          </w:p>
          <w:p w14:paraId="69814C21" w14:textId="77777777" w:rsidR="00786A45" w:rsidRPr="0082049E" w:rsidRDefault="00786A45" w:rsidP="00107CFE">
            <w:pPr>
              <w:pStyle w:val="BodyText"/>
              <w:numPr>
                <w:ilvl w:val="0"/>
                <w:numId w:val="16"/>
              </w:numPr>
              <w:tabs>
                <w:tab w:val="left" w:pos="426"/>
              </w:tabs>
              <w:ind w:left="29" w:right="170" w:firstLine="284"/>
              <w:jc w:val="both"/>
              <w:rPr>
                <w:spacing w:val="-2"/>
                <w:sz w:val="24"/>
                <w:szCs w:val="24"/>
                <w:lang w:val="ro-RO"/>
              </w:rPr>
            </w:pPr>
            <w:r w:rsidRPr="0082049E">
              <w:rPr>
                <w:bCs/>
                <w:sz w:val="24"/>
                <w:szCs w:val="24"/>
                <w:lang w:val="ro-RO"/>
              </w:rPr>
              <w:t>Sistemul de învățământ asigură educație de calitate promovând într-un mod sistematic dezvoltarea abilităților de gândire critică și competențe în mediul online, și dezvoltarea competențelor digitale;</w:t>
            </w:r>
          </w:p>
          <w:p w14:paraId="3620EF15" w14:textId="77777777" w:rsidR="00786A45" w:rsidRPr="0082049E" w:rsidRDefault="00786A45" w:rsidP="00107CFE">
            <w:pPr>
              <w:pStyle w:val="BodyText"/>
              <w:numPr>
                <w:ilvl w:val="0"/>
                <w:numId w:val="16"/>
              </w:numPr>
              <w:tabs>
                <w:tab w:val="left" w:pos="426"/>
              </w:tabs>
              <w:ind w:left="29" w:right="170" w:firstLine="284"/>
              <w:jc w:val="both"/>
              <w:rPr>
                <w:spacing w:val="-2"/>
                <w:sz w:val="24"/>
                <w:szCs w:val="24"/>
                <w:lang w:val="ro-RO"/>
              </w:rPr>
            </w:pPr>
            <w:r w:rsidRPr="0082049E">
              <w:rPr>
                <w:bCs/>
                <w:sz w:val="24"/>
                <w:szCs w:val="24"/>
                <w:lang w:val="ro-RO"/>
              </w:rPr>
              <w:t>Cercetările sistematice privind siguranța copiilor online sunt utilizate pentru elaborarea programelor în domeniu bazate pe evidențe;</w:t>
            </w:r>
          </w:p>
          <w:p w14:paraId="2AE26984" w14:textId="649D60B6" w:rsidR="00786A45" w:rsidRPr="00786A45" w:rsidRDefault="00786A45" w:rsidP="00107CFE">
            <w:pPr>
              <w:pStyle w:val="BodyText"/>
              <w:numPr>
                <w:ilvl w:val="0"/>
                <w:numId w:val="16"/>
              </w:numPr>
              <w:tabs>
                <w:tab w:val="left" w:pos="426"/>
              </w:tabs>
              <w:ind w:left="29" w:right="170" w:firstLine="284"/>
              <w:jc w:val="both"/>
              <w:rPr>
                <w:spacing w:val="-2"/>
                <w:sz w:val="24"/>
                <w:szCs w:val="24"/>
                <w:lang w:val="ro-RO"/>
              </w:rPr>
            </w:pPr>
            <w:r w:rsidRPr="0082049E">
              <w:rPr>
                <w:bCs/>
                <w:sz w:val="24"/>
                <w:szCs w:val="24"/>
                <w:lang w:val="ro-RO"/>
              </w:rPr>
              <w:t>Sectorul privat din domeniul tehnologiei informației și comunicațiilor are un rol activ în promovarea siguranței copiilor online, în prevenirea și combaterea formelor de violență digitală comisă față de copii.</w:t>
            </w:r>
          </w:p>
        </w:tc>
      </w:tr>
      <w:tr w:rsidR="00025894" w:rsidRPr="00C836E6" w14:paraId="1FA46318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74529829" w14:textId="77777777" w:rsidR="005A6977" w:rsidRPr="00C836E6" w:rsidRDefault="005A6977" w:rsidP="00107CFE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29" w:right="170"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Fundamentarea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economico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-financiară</w:t>
            </w:r>
          </w:p>
        </w:tc>
      </w:tr>
      <w:tr w:rsidR="00025894" w:rsidRPr="00C836E6" w14:paraId="3AD90F34" w14:textId="77777777" w:rsidTr="00107CFE">
        <w:trPr>
          <w:trHeight w:val="964"/>
        </w:trPr>
        <w:tc>
          <w:tcPr>
            <w:tcW w:w="9634" w:type="dxa"/>
          </w:tcPr>
          <w:p w14:paraId="6F4811A0" w14:textId="21B620A5" w:rsidR="006E7AD5" w:rsidRPr="00C836E6" w:rsidRDefault="00652803" w:rsidP="009D1C4F">
            <w:pPr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Pentru perioada 2024-2026 implementarea 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Planului național pentru siguranța online a copiilor pentru perioada 2024-2026</w:t>
            </w:r>
            <w:r w:rsidR="004A1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ar necesita, estimat,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circa 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mln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 lei</w:t>
            </w:r>
            <w:r w:rsidRPr="0065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Acoperirea acestor cheltuieli se </w:t>
            </w:r>
            <w:r w:rsidR="008B1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</w:t>
            </w:r>
            <w:r w:rsidRPr="0065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realiza din </w:t>
            </w:r>
            <w:r w:rsidR="009D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limita bugetelor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planificate </w:t>
            </w:r>
            <w:r w:rsidR="009D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D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instituțiilor responsabile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</w:t>
            </w:r>
            <w:r w:rsidR="009D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/sau</w:t>
            </w:r>
            <w:bookmarkStart w:id="1" w:name="_GoBack"/>
            <w:bookmarkEnd w:id="1"/>
            <w:r w:rsidR="00611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65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partenerilor de dezvoltare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025894" w:rsidRPr="00C836E6" w14:paraId="2535CCFD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34290872" w14:textId="77777777" w:rsidR="005A6977" w:rsidRPr="00C836E6" w:rsidRDefault="005A6977" w:rsidP="00107CF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29" w:right="170"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025894" w:rsidRPr="00C836E6" w14:paraId="27D5E0E4" w14:textId="77777777" w:rsidTr="00107CFE">
        <w:trPr>
          <w:trHeight w:val="20"/>
        </w:trPr>
        <w:tc>
          <w:tcPr>
            <w:tcW w:w="9634" w:type="dxa"/>
          </w:tcPr>
          <w:p w14:paraId="1C05DC01" w14:textId="324D80ED" w:rsidR="002B1D1E" w:rsidRPr="00C836E6" w:rsidRDefault="00711450" w:rsidP="00107CFE">
            <w:pPr>
              <w:spacing w:before="120" w:after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modificarea sau ajustarea altor acte normative în vigoare.</w:t>
            </w:r>
          </w:p>
        </w:tc>
      </w:tr>
      <w:tr w:rsidR="00025894" w:rsidRPr="00C836E6" w14:paraId="3F70F036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53214C17" w14:textId="77777777" w:rsidR="005A6977" w:rsidRPr="00C836E6" w:rsidRDefault="005A6977" w:rsidP="00107CFE">
            <w:pPr>
              <w:pStyle w:val="ListParagraph"/>
              <w:numPr>
                <w:ilvl w:val="0"/>
                <w:numId w:val="1"/>
              </w:numPr>
              <w:ind w:left="29" w:right="170"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Avizarea și c</w:t>
            </w:r>
            <w:r w:rsidR="007F78BF"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onsultarea publică a proiectului</w:t>
            </w:r>
          </w:p>
        </w:tc>
      </w:tr>
      <w:tr w:rsidR="00025894" w:rsidRPr="009D1C4F" w14:paraId="4FA4086F" w14:textId="77777777" w:rsidTr="00107CFE">
        <w:trPr>
          <w:trHeight w:val="20"/>
        </w:trPr>
        <w:tc>
          <w:tcPr>
            <w:tcW w:w="9634" w:type="dxa"/>
          </w:tcPr>
          <w:p w14:paraId="027489B6" w14:textId="1AE075DD" w:rsidR="00C7382B" w:rsidRPr="001C3512" w:rsidRDefault="001D2594" w:rsidP="00107CFE">
            <w:pPr>
              <w:pStyle w:val="Heading1"/>
              <w:ind w:left="29" w:right="170" w:firstLine="284"/>
              <w:jc w:val="both"/>
              <w:textAlignment w:val="baseline"/>
              <w:outlineLvl w:val="0"/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</w:pPr>
            <w:r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Î</w:t>
            </w:r>
            <w:r w:rsidR="00025894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n scopul respect</w:t>
            </w:r>
            <w:r w:rsidR="00F810B7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ării prevederilor Legii nr. 239/</w:t>
            </w:r>
            <w:r w:rsidR="00025894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 xml:space="preserve">2008 privind </w:t>
            </w:r>
            <w:r w:rsidR="008B2D82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transparența</w:t>
            </w:r>
            <w:r w:rsidR="00025894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 xml:space="preserve"> în procesul decizional, </w:t>
            </w:r>
            <w:r w:rsidR="001C3512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 xml:space="preserve">anunțul privind elaborarea </w:t>
            </w:r>
            <w:r w:rsidR="00025894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proiectul</w:t>
            </w:r>
            <w:r w:rsidR="001C3512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ui Planului național pentru siguranța online a copiilor </w:t>
            </w:r>
            <w:r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a f</w:t>
            </w:r>
            <w:r w:rsidR="001C3512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ost</w:t>
            </w:r>
            <w:r w:rsidR="00F22B34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 xml:space="preserve"> plasat pe </w:t>
            </w:r>
            <w:r w:rsidR="00025894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 xml:space="preserve">pagina web oficială a </w:t>
            </w:r>
            <w:r w:rsidR="00692AB4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 xml:space="preserve">Ministerului Educației </w:t>
            </w:r>
            <w:r w:rsidR="005A6977" w:rsidRPr="001C3512">
              <w:rPr>
                <w:rFonts w:eastAsiaTheme="minorHAnsi" w:cs="Times New Roman"/>
                <w:b w:val="0"/>
                <w:bCs w:val="0"/>
                <w:color w:val="000000" w:themeColor="text1"/>
                <w:lang w:val="ro-RO"/>
              </w:rPr>
              <w:t>și Cercetări</w:t>
            </w:r>
            <w:r w:rsidR="005A6977" w:rsidRPr="001C3512">
              <w:rPr>
                <w:rFonts w:cs="Times New Roman"/>
                <w:b w:val="0"/>
                <w:color w:val="000000" w:themeColor="text1"/>
                <w:lang w:val="ro-RO"/>
              </w:rPr>
              <w:t xml:space="preserve">i </w:t>
            </w:r>
            <w:hyperlink r:id="rId8" w:history="1">
              <w:r w:rsidR="008D5BE6" w:rsidRPr="001C3512">
                <w:rPr>
                  <w:rStyle w:val="Hyperlink"/>
                  <w:rFonts w:cs="Times New Roman"/>
                  <w:b w:val="0"/>
                  <w:lang w:val="ro-RO"/>
                </w:rPr>
                <w:t>www.mec.gov.md</w:t>
              </w:r>
            </w:hyperlink>
            <w:r w:rsidR="00F810B7" w:rsidRPr="001C3512">
              <w:rPr>
                <w:rFonts w:cs="Times New Roman"/>
                <w:b w:val="0"/>
                <w:color w:val="000000" w:themeColor="text1"/>
                <w:lang w:val="ro-RO"/>
              </w:rPr>
              <w:t xml:space="preserve">, </w:t>
            </w:r>
            <w:r w:rsidR="005A6977" w:rsidRPr="001C3512">
              <w:rPr>
                <w:rFonts w:cs="Times New Roman"/>
                <w:b w:val="0"/>
                <w:color w:val="000000" w:themeColor="text1"/>
                <w:lang w:val="ro-RO"/>
              </w:rPr>
              <w:t xml:space="preserve">compartimentul Transparență, directoriul Transparență decizională, secțiunea Modul de participare </w:t>
            </w:r>
            <w:r w:rsidR="001C3512" w:rsidRPr="001C3512">
              <w:rPr>
                <w:rStyle w:val="Hyperlink"/>
                <w:rFonts w:cs="Times New Roman"/>
                <w:b w:val="0"/>
                <w:lang w:val="ro-RO"/>
              </w:rPr>
              <w:t>https://particip.gov.md/ro/document/stages/in-scopul-transpunerii-deciziei-nr-13512008ce-a-parlamentului-european-si-a-consiliului-din-16-decembrie-2008-de-stabilire-a-unui-program-comunitar-multianual-privind-protectia-copiilor-care-utilizeaza-internetul-si-alte-tehnologii-de-comunicare-precum-si-in-corespundere-cu-planul-de-actiuni-privind-implementarea-programului-national-pentru-protectia-copilului-pe-anii-2022-2026-aprobat-prin-hotararea-guvernului-nr-3472022-ministerul-educatiei-si-cercetarii-informaza-cu-privire-la-initierea-procesului-de-elaborare-a-planului-national-pentru-</w:t>
            </w:r>
            <w:r w:rsidR="001C3512" w:rsidRPr="001C3512">
              <w:rPr>
                <w:rStyle w:val="Hyperlink"/>
                <w:rFonts w:cs="Times New Roman"/>
                <w:b w:val="0"/>
                <w:lang w:val="ro-RO"/>
              </w:rPr>
              <w:lastRenderedPageBreak/>
              <w:t>siguranta-online-a-copiilor-si-a-hotararii-guvernului-de-aprobare-a-acestuia/11503</w:t>
            </w:r>
          </w:p>
          <w:p w14:paraId="659C4AE4" w14:textId="77777777" w:rsidR="00C7382B" w:rsidRPr="00C7382B" w:rsidRDefault="00C7382B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4"/>
                <w:lang w:val="ro-RO"/>
              </w:rPr>
            </w:pPr>
          </w:p>
          <w:p w14:paraId="590CE633" w14:textId="0418102C" w:rsidR="00AF2D52" w:rsidRDefault="00AF2D52" w:rsidP="00AF2D52">
            <w:pPr>
              <w:spacing w:after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procesul de elaborare s-a conlucrat cu CI „La Strada”, Ministerul Afacerilor Interne, Ministerul Muncii și Protecției Sociale. De asemenea, proiectul Planului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național pentru siguranța online a copiilor pentru perioada 2024-2026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fost preavizat de toate instituțiile menționate în calitate de responsabili. </w:t>
            </w:r>
          </w:p>
          <w:p w14:paraId="1B8BF4C5" w14:textId="0C352CF4" w:rsidR="004350E4" w:rsidRDefault="00B77725" w:rsidP="00AF2D52">
            <w:pPr>
              <w:spacing w:after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Varianta proiectului Planului</w:t>
            </w:r>
            <w:r w:rsidRPr="00414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național pentru siguranța online a copiilor pentru perioada 2024-2026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ajustată în urma propunerilor și sugestiilor înaintate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a fost prezentat</w:t>
            </w:r>
            <w:r w:rsidR="00435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 în cadrul:</w:t>
            </w:r>
          </w:p>
          <w:p w14:paraId="6FF92C41" w14:textId="66C067A2" w:rsidR="00956D57" w:rsidRDefault="004350E4" w:rsidP="00AF2D52">
            <w:pPr>
              <w:spacing w:after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ședinței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din 02.04.2024 organizate de MAI a 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Comisie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specializate a consiliului naț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ional pentru drepturile omului responsabil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de monitorizarea implementării C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onven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iei Consiliului Europei privind protec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 copiil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mpotriva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expl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oat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sexuale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abuzurilor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sexuale,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adoptat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ă 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 oct</w:t>
            </w:r>
            <w:r w:rsidR="00956D57" w:rsidRP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ombrie </w:t>
            </w:r>
            <w:r w:rsidR="0095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5C845651" w14:textId="5647538F" w:rsidR="004350E4" w:rsidRDefault="004350E4" w:rsidP="00AF2D52">
            <w:pPr>
              <w:spacing w:after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r w:rsidRPr="00435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ședinței comune din 22.04.2024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435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desfășurate de MMPS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435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Grupurilor tematice de în cadrul căreia a fost prezentat Raportul pentru anul 2023 privind realizarea Programului național pentru protecția copilului pe anii 2022-2026 și a Planului de acțiuni pentru implementarea acestuia.</w:t>
            </w:r>
          </w:p>
          <w:p w14:paraId="6ABC29FF" w14:textId="7ED67373" w:rsidR="00C7382B" w:rsidRPr="00C836E6" w:rsidRDefault="00C7382B" w:rsidP="00AF2D52">
            <w:pPr>
              <w:spacing w:after="120"/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Totodată</w:t>
            </w:r>
            <w:r w:rsidR="001C3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1C3512" w:rsidRPr="001C3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AF2D52" w:rsidRPr="001130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Hotărârii Guvernului de modificare a Hotărârii Guvernului  nr. 347/2022 cu privire la aprobarea Programului na</w:t>
            </w:r>
            <w:r w:rsidR="00AF2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AF2D52" w:rsidRPr="001130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ional pentru protecția copilului pe anii 2022-2026</w:t>
            </w:r>
            <w:r w:rsidR="00AF2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 </w:t>
            </w:r>
            <w:r w:rsidR="001C3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va fi plasat </w:t>
            </w:r>
            <w:r w:rsidR="001C3512" w:rsidRPr="001C3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pagina web oficială a Ministerului Educației și Cercetării</w:t>
            </w:r>
            <w:r w:rsidR="00AF2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discuții publice.</w:t>
            </w:r>
          </w:p>
        </w:tc>
      </w:tr>
      <w:tr w:rsidR="00C611FA" w:rsidRPr="00C836E6" w14:paraId="6098736F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6AF553B0" w14:textId="120199FB" w:rsidR="00C611FA" w:rsidRPr="00C836E6" w:rsidRDefault="00C611FA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8. Constatările expertizei anticorupție</w:t>
            </w:r>
          </w:p>
        </w:tc>
      </w:tr>
      <w:tr w:rsidR="00C611FA" w:rsidRPr="00C836E6" w14:paraId="7BE81223" w14:textId="77777777" w:rsidTr="00107CFE">
        <w:trPr>
          <w:trHeight w:val="499"/>
        </w:trPr>
        <w:tc>
          <w:tcPr>
            <w:tcW w:w="9634" w:type="dxa"/>
          </w:tcPr>
          <w:p w14:paraId="6B38C4F0" w14:textId="5DD43E8A" w:rsidR="00C611FA" w:rsidRPr="00C836E6" w:rsidRDefault="00711450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Urmează a fi realizată</w:t>
            </w:r>
            <w:r w:rsidR="00AF2D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către Centrul Național Anticorupție.</w:t>
            </w:r>
          </w:p>
        </w:tc>
      </w:tr>
      <w:tr w:rsidR="00C611FA" w:rsidRPr="00C836E6" w14:paraId="6ED705F8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3B5CB6A1" w14:textId="1C2253E0" w:rsidR="00C611FA" w:rsidRPr="00C836E6" w:rsidRDefault="00C611FA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C611FA" w:rsidRPr="00C836E6" w14:paraId="3573ECA8" w14:textId="77777777" w:rsidTr="00107CFE">
        <w:trPr>
          <w:trHeight w:val="369"/>
        </w:trPr>
        <w:tc>
          <w:tcPr>
            <w:tcW w:w="9634" w:type="dxa"/>
          </w:tcPr>
          <w:p w14:paraId="17F88E33" w14:textId="779A2C95" w:rsidR="00C611FA" w:rsidRPr="00C836E6" w:rsidRDefault="00D86CFD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</w:t>
            </w:r>
          </w:p>
        </w:tc>
      </w:tr>
      <w:tr w:rsidR="00C611FA" w:rsidRPr="00C836E6" w14:paraId="7BFC30CE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70580672" w14:textId="3E583AAA" w:rsidR="00C611FA" w:rsidRPr="00C836E6" w:rsidRDefault="00C611FA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C611FA" w:rsidRPr="00C836E6" w14:paraId="34D0EE24" w14:textId="77777777" w:rsidTr="00107CFE">
        <w:trPr>
          <w:trHeight w:val="507"/>
        </w:trPr>
        <w:tc>
          <w:tcPr>
            <w:tcW w:w="9634" w:type="dxa"/>
          </w:tcPr>
          <w:p w14:paraId="37117C0E" w14:textId="54275BFC" w:rsidR="00C611FA" w:rsidRPr="00C836E6" w:rsidRDefault="009D5FE6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Urmează a fi realizată</w:t>
            </w:r>
          </w:p>
        </w:tc>
      </w:tr>
      <w:tr w:rsidR="00C611FA" w:rsidRPr="00C836E6" w14:paraId="72BBD2B7" w14:textId="77777777" w:rsidTr="00107CFE">
        <w:trPr>
          <w:trHeight w:val="20"/>
        </w:trPr>
        <w:tc>
          <w:tcPr>
            <w:tcW w:w="9634" w:type="dxa"/>
            <w:shd w:val="clear" w:color="auto" w:fill="DBDBDB" w:themeFill="accent3" w:themeFillTint="66"/>
          </w:tcPr>
          <w:p w14:paraId="7CAC22B1" w14:textId="01000A93" w:rsidR="00C611FA" w:rsidRPr="00C836E6" w:rsidRDefault="00C611FA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C611FA" w:rsidRPr="00C836E6" w14:paraId="20C47347" w14:textId="77777777" w:rsidTr="00107CFE">
        <w:trPr>
          <w:trHeight w:val="518"/>
        </w:trPr>
        <w:tc>
          <w:tcPr>
            <w:tcW w:w="9634" w:type="dxa"/>
          </w:tcPr>
          <w:p w14:paraId="01FB4CF8" w14:textId="1C33A53B" w:rsidR="00C611FA" w:rsidRPr="00C836E6" w:rsidRDefault="00711450" w:rsidP="00107CFE">
            <w:pPr>
              <w:ind w:left="29" w:right="17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</w:t>
            </w:r>
          </w:p>
        </w:tc>
      </w:tr>
    </w:tbl>
    <w:p w14:paraId="601C4A25" w14:textId="77777777" w:rsidR="00D86CFD" w:rsidRDefault="008D75E6" w:rsidP="00D86C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br/>
      </w:r>
    </w:p>
    <w:p w14:paraId="0500C138" w14:textId="77777777" w:rsidR="009D5FE6" w:rsidRDefault="009D5FE6" w:rsidP="00D86C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F5AE9FD" w14:textId="171355A7" w:rsidR="00D86CFD" w:rsidRPr="00C836E6" w:rsidRDefault="00025894" w:rsidP="00D86C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F44BB2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inistru </w:t>
      </w:r>
      <w:r w:rsidR="005A6977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</w:t>
      </w:r>
      <w:r w:rsidR="008A4B05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8A4B05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977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r w:rsidR="007300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Dan PERCIUN</w:t>
      </w:r>
    </w:p>
    <w:p w14:paraId="436B0DEE" w14:textId="77777777" w:rsidR="00877E15" w:rsidRDefault="00877E15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043C08E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E4A2794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AEAE8A5" w14:textId="77777777" w:rsidR="009D5FE6" w:rsidRDefault="009D5F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0EBF8DA" w14:textId="77777777" w:rsidR="009D5FE6" w:rsidRDefault="009D5F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BCEA1AF" w14:textId="77777777" w:rsidR="003D74C9" w:rsidRDefault="003D74C9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11D84B9" w14:textId="77777777" w:rsidR="003D74C9" w:rsidRDefault="003D74C9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B364889" w14:textId="77777777" w:rsidR="00041E5F" w:rsidRDefault="00041E5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C8991C6" w14:textId="77777777" w:rsidR="00041E5F" w:rsidRDefault="00041E5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7B6A73A" w14:textId="77777777" w:rsidR="009D5FE6" w:rsidRDefault="009D5F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5C23854" w14:textId="77777777" w:rsidR="007300E6" w:rsidRDefault="007300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6F7B5EB" w14:textId="77777777" w:rsidR="007300E6" w:rsidRDefault="007300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9636A2" w14:textId="4DCF6813" w:rsidR="00E63660" w:rsidRPr="00FB27AF" w:rsidRDefault="00E63660" w:rsidP="00D86CFD">
      <w:pPr>
        <w:spacing w:after="0"/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</w:pP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Ex</w:t>
      </w:r>
      <w:r w:rsidR="00AC1A88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ecutant:</w:t>
      </w: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 xml:space="preserve"> </w:t>
      </w:r>
      <w:r w:rsidR="008B6CC2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A.Prisacaru</w:t>
      </w:r>
      <w:r w:rsidR="0099364C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, t</w:t>
      </w: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el. 0 22 </w:t>
      </w:r>
      <w:r w:rsidR="008B6CC2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232785</w:t>
      </w: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 xml:space="preserve"> </w:t>
      </w:r>
    </w:p>
    <w:sectPr w:rsidR="00E63660" w:rsidRPr="00FB27AF" w:rsidSect="00CE6ADA">
      <w:footerReference w:type="default" r:id="rId9"/>
      <w:pgSz w:w="11906" w:h="16838" w:code="9"/>
      <w:pgMar w:top="851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43FD5" w14:textId="77777777" w:rsidR="00341038" w:rsidRDefault="00341038" w:rsidP="009139A1">
      <w:pPr>
        <w:spacing w:after="0" w:line="240" w:lineRule="auto"/>
      </w:pPr>
      <w:r>
        <w:separator/>
      </w:r>
    </w:p>
  </w:endnote>
  <w:endnote w:type="continuationSeparator" w:id="0">
    <w:p w14:paraId="60C2FBB0" w14:textId="77777777" w:rsidR="00341038" w:rsidRDefault="00341038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21FD" w14:textId="77777777" w:rsidR="009139A1" w:rsidRDefault="009139A1">
    <w:pPr>
      <w:pStyle w:val="Footer"/>
      <w:jc w:val="right"/>
    </w:pPr>
  </w:p>
  <w:p w14:paraId="3458B3CA" w14:textId="77777777" w:rsidR="009139A1" w:rsidRDefault="00913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156AB" w14:textId="77777777" w:rsidR="00341038" w:rsidRDefault="00341038" w:rsidP="009139A1">
      <w:pPr>
        <w:spacing w:after="0" w:line="240" w:lineRule="auto"/>
      </w:pPr>
      <w:r>
        <w:separator/>
      </w:r>
    </w:p>
  </w:footnote>
  <w:footnote w:type="continuationSeparator" w:id="0">
    <w:p w14:paraId="0C6A7D3E" w14:textId="77777777" w:rsidR="00341038" w:rsidRDefault="00341038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1C"/>
    <w:multiLevelType w:val="hybridMultilevel"/>
    <w:tmpl w:val="C20E157C"/>
    <w:lvl w:ilvl="0" w:tplc="9ED82C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0F4"/>
    <w:multiLevelType w:val="hybridMultilevel"/>
    <w:tmpl w:val="5240CBB6"/>
    <w:lvl w:ilvl="0" w:tplc="A92ECB50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0C2F0E7E"/>
    <w:multiLevelType w:val="multilevel"/>
    <w:tmpl w:val="57E693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4" w15:restartNumberingAfterBreak="0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11261"/>
    <w:multiLevelType w:val="hybridMultilevel"/>
    <w:tmpl w:val="A0CA0C48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C952DC12">
      <w:start w:val="1"/>
      <w:numFmt w:val="bullet"/>
      <w:lvlText w:val="•"/>
      <w:lvlJc w:val="left"/>
      <w:pPr>
        <w:ind w:left="203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25852793"/>
    <w:multiLevelType w:val="hybridMultilevel"/>
    <w:tmpl w:val="B6D485BC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C952DC12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7" w15:restartNumberingAfterBreak="0">
    <w:nsid w:val="310669A2"/>
    <w:multiLevelType w:val="multilevel"/>
    <w:tmpl w:val="5C2EB6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57765"/>
    <w:multiLevelType w:val="hybridMultilevel"/>
    <w:tmpl w:val="E24614FC"/>
    <w:lvl w:ilvl="0" w:tplc="2C169648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0" w15:restartNumberingAfterBreak="0">
    <w:nsid w:val="36324E18"/>
    <w:multiLevelType w:val="multilevel"/>
    <w:tmpl w:val="44B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F3CF9"/>
    <w:multiLevelType w:val="hybridMultilevel"/>
    <w:tmpl w:val="BF20CB4C"/>
    <w:lvl w:ilvl="0" w:tplc="97F61C4E">
      <w:start w:val="1"/>
      <w:numFmt w:val="upperLetter"/>
      <w:lvlText w:val="%1."/>
      <w:lvlJc w:val="left"/>
      <w:pPr>
        <w:ind w:left="862" w:hanging="29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C86639C">
      <w:start w:val="1"/>
      <w:numFmt w:val="bullet"/>
      <w:lvlText w:val=""/>
      <w:lvlJc w:val="left"/>
      <w:pPr>
        <w:ind w:left="710" w:hanging="284"/>
      </w:pPr>
      <w:rPr>
        <w:rFonts w:ascii="Symbol" w:eastAsia="Symbol" w:hAnsi="Symbol" w:hint="default"/>
        <w:sz w:val="24"/>
        <w:szCs w:val="24"/>
      </w:rPr>
    </w:lvl>
    <w:lvl w:ilvl="2" w:tplc="F33E326E">
      <w:start w:val="1"/>
      <w:numFmt w:val="bullet"/>
      <w:lvlText w:val="•"/>
      <w:lvlJc w:val="left"/>
      <w:pPr>
        <w:ind w:left="2172" w:hanging="284"/>
      </w:pPr>
    </w:lvl>
    <w:lvl w:ilvl="3" w:tplc="3110AB94">
      <w:start w:val="1"/>
      <w:numFmt w:val="bullet"/>
      <w:lvlText w:val="•"/>
      <w:lvlJc w:val="left"/>
      <w:pPr>
        <w:ind w:left="3208" w:hanging="284"/>
      </w:pPr>
    </w:lvl>
    <w:lvl w:ilvl="4" w:tplc="D23260DC">
      <w:start w:val="1"/>
      <w:numFmt w:val="bullet"/>
      <w:lvlText w:val="•"/>
      <w:lvlJc w:val="left"/>
      <w:pPr>
        <w:ind w:left="4244" w:hanging="284"/>
      </w:pPr>
    </w:lvl>
    <w:lvl w:ilvl="5" w:tplc="655CE728">
      <w:start w:val="1"/>
      <w:numFmt w:val="bullet"/>
      <w:lvlText w:val="•"/>
      <w:lvlJc w:val="left"/>
      <w:pPr>
        <w:ind w:left="5280" w:hanging="284"/>
      </w:pPr>
    </w:lvl>
    <w:lvl w:ilvl="6" w:tplc="A482C11A">
      <w:start w:val="1"/>
      <w:numFmt w:val="bullet"/>
      <w:lvlText w:val="•"/>
      <w:lvlJc w:val="left"/>
      <w:pPr>
        <w:ind w:left="6317" w:hanging="284"/>
      </w:pPr>
    </w:lvl>
    <w:lvl w:ilvl="7" w:tplc="8CF650E6">
      <w:start w:val="1"/>
      <w:numFmt w:val="bullet"/>
      <w:lvlText w:val="•"/>
      <w:lvlJc w:val="left"/>
      <w:pPr>
        <w:ind w:left="7353" w:hanging="284"/>
      </w:pPr>
    </w:lvl>
    <w:lvl w:ilvl="8" w:tplc="1728D96A">
      <w:start w:val="1"/>
      <w:numFmt w:val="bullet"/>
      <w:lvlText w:val="•"/>
      <w:lvlJc w:val="left"/>
      <w:pPr>
        <w:ind w:left="8389" w:hanging="284"/>
      </w:pPr>
    </w:lvl>
  </w:abstractNum>
  <w:abstractNum w:abstractNumId="12" w15:restartNumberingAfterBreak="0">
    <w:nsid w:val="3AE65967"/>
    <w:multiLevelType w:val="hybridMultilevel"/>
    <w:tmpl w:val="06FC495C"/>
    <w:lvl w:ilvl="0" w:tplc="675A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57F04"/>
    <w:multiLevelType w:val="hybridMultilevel"/>
    <w:tmpl w:val="2112F94C"/>
    <w:lvl w:ilvl="0" w:tplc="84F8821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w w:val="87"/>
        <w:sz w:val="24"/>
        <w:szCs w:val="24"/>
        <w:u w:val="none"/>
        <w:effect w:val="none"/>
      </w:rPr>
    </w:lvl>
    <w:lvl w:ilvl="1" w:tplc="4426D900">
      <w:start w:val="1"/>
      <w:numFmt w:val="lowerLetter"/>
      <w:lvlText w:val="%2)"/>
      <w:lvlJc w:val="left"/>
      <w:pPr>
        <w:ind w:left="540" w:hanging="286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 w:tplc="7E40F268">
      <w:start w:val="1"/>
      <w:numFmt w:val="bullet"/>
      <w:lvlText w:val="•"/>
      <w:lvlJc w:val="left"/>
      <w:pPr>
        <w:ind w:left="679" w:hanging="286"/>
      </w:pPr>
    </w:lvl>
    <w:lvl w:ilvl="3" w:tplc="0E809BEA">
      <w:start w:val="1"/>
      <w:numFmt w:val="bullet"/>
      <w:lvlText w:val="•"/>
      <w:lvlJc w:val="left"/>
      <w:pPr>
        <w:ind w:left="779" w:hanging="286"/>
      </w:pPr>
    </w:lvl>
    <w:lvl w:ilvl="4" w:tplc="0B08A856">
      <w:start w:val="1"/>
      <w:numFmt w:val="bullet"/>
      <w:lvlText w:val="•"/>
      <w:lvlJc w:val="left"/>
      <w:pPr>
        <w:ind w:left="2072" w:hanging="286"/>
      </w:pPr>
    </w:lvl>
    <w:lvl w:ilvl="5" w:tplc="717E8208">
      <w:start w:val="1"/>
      <w:numFmt w:val="bullet"/>
      <w:lvlText w:val="•"/>
      <w:lvlJc w:val="left"/>
      <w:pPr>
        <w:ind w:left="3364" w:hanging="286"/>
      </w:pPr>
    </w:lvl>
    <w:lvl w:ilvl="6" w:tplc="0EE496FA">
      <w:start w:val="1"/>
      <w:numFmt w:val="bullet"/>
      <w:lvlText w:val="•"/>
      <w:lvlJc w:val="left"/>
      <w:pPr>
        <w:ind w:left="4656" w:hanging="286"/>
      </w:pPr>
    </w:lvl>
    <w:lvl w:ilvl="7" w:tplc="8AA0AC86">
      <w:start w:val="1"/>
      <w:numFmt w:val="bullet"/>
      <w:lvlText w:val="•"/>
      <w:lvlJc w:val="left"/>
      <w:pPr>
        <w:ind w:left="5949" w:hanging="286"/>
      </w:pPr>
    </w:lvl>
    <w:lvl w:ilvl="8" w:tplc="3AECC812">
      <w:start w:val="1"/>
      <w:numFmt w:val="bullet"/>
      <w:lvlText w:val="•"/>
      <w:lvlJc w:val="left"/>
      <w:pPr>
        <w:ind w:left="7241" w:hanging="286"/>
      </w:pPr>
    </w:lvl>
  </w:abstractNum>
  <w:abstractNum w:abstractNumId="14" w15:restartNumberingAfterBreak="0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727C9"/>
    <w:multiLevelType w:val="multilevel"/>
    <w:tmpl w:val="E8C2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73376"/>
    <w:multiLevelType w:val="hybridMultilevel"/>
    <w:tmpl w:val="C2D88E92"/>
    <w:lvl w:ilvl="0" w:tplc="C952DC1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C1426"/>
    <w:multiLevelType w:val="hybridMultilevel"/>
    <w:tmpl w:val="3F9CC134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09BEF906">
      <w:start w:val="1"/>
      <w:numFmt w:val="bullet"/>
      <w:lvlText w:val="-"/>
      <w:lvlJc w:val="left"/>
      <w:pPr>
        <w:ind w:left="2035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8" w15:restartNumberingAfterBreak="0">
    <w:nsid w:val="607B1037"/>
    <w:multiLevelType w:val="hybridMultilevel"/>
    <w:tmpl w:val="9AC2B338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7DE08356">
      <w:start w:val="2"/>
      <w:numFmt w:val="bullet"/>
      <w:lvlText w:val="-"/>
      <w:lvlJc w:val="left"/>
      <w:pPr>
        <w:ind w:left="203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9" w15:restartNumberingAfterBreak="0">
    <w:nsid w:val="7804732E"/>
    <w:multiLevelType w:val="hybridMultilevel"/>
    <w:tmpl w:val="EA58BA34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0" w15:restartNumberingAfterBreak="0">
    <w:nsid w:val="7AA1435B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1"/>
  </w:num>
  <w:num w:numId="8">
    <w:abstractNumId w:val="17"/>
  </w:num>
  <w:num w:numId="9">
    <w:abstractNumId w:val="18"/>
  </w:num>
  <w:num w:numId="10">
    <w:abstractNumId w:val="6"/>
  </w:num>
  <w:num w:numId="11">
    <w:abstractNumId w:val="5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6"/>
  </w:num>
  <w:num w:numId="15">
    <w:abstractNumId w:val="20"/>
  </w:num>
  <w:num w:numId="16">
    <w:abstractNumId w:val="0"/>
  </w:num>
  <w:num w:numId="17">
    <w:abstractNumId w:val="10"/>
  </w:num>
  <w:num w:numId="18">
    <w:abstractNumId w:val="2"/>
  </w:num>
  <w:num w:numId="19">
    <w:abstractNumId w:val="9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02647"/>
    <w:rsid w:val="0002060C"/>
    <w:rsid w:val="00021EC8"/>
    <w:rsid w:val="00025894"/>
    <w:rsid w:val="00027F81"/>
    <w:rsid w:val="00033721"/>
    <w:rsid w:val="00035FAE"/>
    <w:rsid w:val="00041E5F"/>
    <w:rsid w:val="00050127"/>
    <w:rsid w:val="000A0A76"/>
    <w:rsid w:val="000A0B85"/>
    <w:rsid w:val="000A3872"/>
    <w:rsid w:val="000A572E"/>
    <w:rsid w:val="000C2123"/>
    <w:rsid w:val="000C36C6"/>
    <w:rsid w:val="000D612E"/>
    <w:rsid w:val="000D6487"/>
    <w:rsid w:val="000E7F0D"/>
    <w:rsid w:val="001011EA"/>
    <w:rsid w:val="00107CFE"/>
    <w:rsid w:val="00110AAC"/>
    <w:rsid w:val="00113043"/>
    <w:rsid w:val="0011736A"/>
    <w:rsid w:val="001232D9"/>
    <w:rsid w:val="00131A27"/>
    <w:rsid w:val="0013229A"/>
    <w:rsid w:val="00132EEC"/>
    <w:rsid w:val="0013332C"/>
    <w:rsid w:val="00133A5A"/>
    <w:rsid w:val="00136656"/>
    <w:rsid w:val="00156E01"/>
    <w:rsid w:val="001622D3"/>
    <w:rsid w:val="001A032A"/>
    <w:rsid w:val="001B2E3E"/>
    <w:rsid w:val="001C3512"/>
    <w:rsid w:val="001D2277"/>
    <w:rsid w:val="001D2594"/>
    <w:rsid w:val="0020403C"/>
    <w:rsid w:val="00221FC0"/>
    <w:rsid w:val="0022364D"/>
    <w:rsid w:val="00226E3E"/>
    <w:rsid w:val="00234428"/>
    <w:rsid w:val="002657AF"/>
    <w:rsid w:val="002761F0"/>
    <w:rsid w:val="00287EB6"/>
    <w:rsid w:val="002B1D1E"/>
    <w:rsid w:val="002F35D5"/>
    <w:rsid w:val="003124C9"/>
    <w:rsid w:val="00312841"/>
    <w:rsid w:val="00320339"/>
    <w:rsid w:val="00341038"/>
    <w:rsid w:val="0034421F"/>
    <w:rsid w:val="00345E5E"/>
    <w:rsid w:val="003575BD"/>
    <w:rsid w:val="00357B05"/>
    <w:rsid w:val="00363308"/>
    <w:rsid w:val="00366EDA"/>
    <w:rsid w:val="003729F1"/>
    <w:rsid w:val="00380EBC"/>
    <w:rsid w:val="003914EE"/>
    <w:rsid w:val="003A442E"/>
    <w:rsid w:val="003B77C3"/>
    <w:rsid w:val="003D34AA"/>
    <w:rsid w:val="003D74C9"/>
    <w:rsid w:val="00401EE2"/>
    <w:rsid w:val="004075EB"/>
    <w:rsid w:val="004112EE"/>
    <w:rsid w:val="00411F9F"/>
    <w:rsid w:val="00414277"/>
    <w:rsid w:val="0041469A"/>
    <w:rsid w:val="004168B3"/>
    <w:rsid w:val="00423886"/>
    <w:rsid w:val="00433F53"/>
    <w:rsid w:val="004350E4"/>
    <w:rsid w:val="00437449"/>
    <w:rsid w:val="00451A97"/>
    <w:rsid w:val="004543A5"/>
    <w:rsid w:val="00457503"/>
    <w:rsid w:val="00461D5B"/>
    <w:rsid w:val="004676BE"/>
    <w:rsid w:val="004726B7"/>
    <w:rsid w:val="004855E8"/>
    <w:rsid w:val="00490D36"/>
    <w:rsid w:val="0049427E"/>
    <w:rsid w:val="004A1FDD"/>
    <w:rsid w:val="004B0060"/>
    <w:rsid w:val="004C3EBD"/>
    <w:rsid w:val="004D1B32"/>
    <w:rsid w:val="004F131E"/>
    <w:rsid w:val="005057A9"/>
    <w:rsid w:val="00512467"/>
    <w:rsid w:val="00522383"/>
    <w:rsid w:val="00530577"/>
    <w:rsid w:val="00535966"/>
    <w:rsid w:val="005409CC"/>
    <w:rsid w:val="00562191"/>
    <w:rsid w:val="0056548B"/>
    <w:rsid w:val="005705E9"/>
    <w:rsid w:val="00570E39"/>
    <w:rsid w:val="00580777"/>
    <w:rsid w:val="005A2701"/>
    <w:rsid w:val="005A6977"/>
    <w:rsid w:val="005A7FC7"/>
    <w:rsid w:val="005B215D"/>
    <w:rsid w:val="005B3F02"/>
    <w:rsid w:val="005B4577"/>
    <w:rsid w:val="005C3D40"/>
    <w:rsid w:val="005E3614"/>
    <w:rsid w:val="005E6079"/>
    <w:rsid w:val="00601A4C"/>
    <w:rsid w:val="0061106C"/>
    <w:rsid w:val="006118E4"/>
    <w:rsid w:val="006163DA"/>
    <w:rsid w:val="00617C70"/>
    <w:rsid w:val="00620032"/>
    <w:rsid w:val="00621FC5"/>
    <w:rsid w:val="00646F55"/>
    <w:rsid w:val="00652803"/>
    <w:rsid w:val="00664D70"/>
    <w:rsid w:val="0068133C"/>
    <w:rsid w:val="006839EE"/>
    <w:rsid w:val="00687323"/>
    <w:rsid w:val="00692AB4"/>
    <w:rsid w:val="00695CE2"/>
    <w:rsid w:val="006A55C7"/>
    <w:rsid w:val="006B110B"/>
    <w:rsid w:val="006B6FD1"/>
    <w:rsid w:val="006B76C6"/>
    <w:rsid w:val="006C17CF"/>
    <w:rsid w:val="006C6ABA"/>
    <w:rsid w:val="006E26BA"/>
    <w:rsid w:val="006E7AD5"/>
    <w:rsid w:val="007042B5"/>
    <w:rsid w:val="007077E5"/>
    <w:rsid w:val="00711450"/>
    <w:rsid w:val="007300E6"/>
    <w:rsid w:val="00760219"/>
    <w:rsid w:val="00784C46"/>
    <w:rsid w:val="00786A45"/>
    <w:rsid w:val="0079279F"/>
    <w:rsid w:val="00792A8F"/>
    <w:rsid w:val="007A5BC2"/>
    <w:rsid w:val="007D1514"/>
    <w:rsid w:val="007E3AB6"/>
    <w:rsid w:val="007F32D8"/>
    <w:rsid w:val="007F5A3F"/>
    <w:rsid w:val="007F78BF"/>
    <w:rsid w:val="00804BBF"/>
    <w:rsid w:val="00804C27"/>
    <w:rsid w:val="0082049E"/>
    <w:rsid w:val="00834A40"/>
    <w:rsid w:val="00855940"/>
    <w:rsid w:val="008660C1"/>
    <w:rsid w:val="00866FAE"/>
    <w:rsid w:val="00872A6F"/>
    <w:rsid w:val="00874D9B"/>
    <w:rsid w:val="008773C2"/>
    <w:rsid w:val="00877E15"/>
    <w:rsid w:val="00884B4C"/>
    <w:rsid w:val="00885F88"/>
    <w:rsid w:val="00892F89"/>
    <w:rsid w:val="008A4B05"/>
    <w:rsid w:val="008A5902"/>
    <w:rsid w:val="008B1035"/>
    <w:rsid w:val="008B2A84"/>
    <w:rsid w:val="008B2D82"/>
    <w:rsid w:val="008B6CC2"/>
    <w:rsid w:val="008C106E"/>
    <w:rsid w:val="008C1F30"/>
    <w:rsid w:val="008C39BF"/>
    <w:rsid w:val="008C6510"/>
    <w:rsid w:val="008D5BE6"/>
    <w:rsid w:val="008D66A9"/>
    <w:rsid w:val="008D75E6"/>
    <w:rsid w:val="008E00D8"/>
    <w:rsid w:val="008E56AB"/>
    <w:rsid w:val="008E7B6F"/>
    <w:rsid w:val="008F2AA6"/>
    <w:rsid w:val="008F7C16"/>
    <w:rsid w:val="009139A1"/>
    <w:rsid w:val="00920130"/>
    <w:rsid w:val="00942F3C"/>
    <w:rsid w:val="00951BFD"/>
    <w:rsid w:val="009545B3"/>
    <w:rsid w:val="00956471"/>
    <w:rsid w:val="00956D57"/>
    <w:rsid w:val="009621C9"/>
    <w:rsid w:val="00972644"/>
    <w:rsid w:val="00985306"/>
    <w:rsid w:val="0099364C"/>
    <w:rsid w:val="009B0E8F"/>
    <w:rsid w:val="009C7602"/>
    <w:rsid w:val="009D1C4F"/>
    <w:rsid w:val="009D2B5A"/>
    <w:rsid w:val="009D5D0D"/>
    <w:rsid w:val="009D5FE6"/>
    <w:rsid w:val="009F238F"/>
    <w:rsid w:val="009F271B"/>
    <w:rsid w:val="00A038E0"/>
    <w:rsid w:val="00A0637F"/>
    <w:rsid w:val="00A06896"/>
    <w:rsid w:val="00A161C2"/>
    <w:rsid w:val="00A20B67"/>
    <w:rsid w:val="00A2190A"/>
    <w:rsid w:val="00A25C06"/>
    <w:rsid w:val="00A32591"/>
    <w:rsid w:val="00A34618"/>
    <w:rsid w:val="00A40967"/>
    <w:rsid w:val="00A43EEC"/>
    <w:rsid w:val="00A45421"/>
    <w:rsid w:val="00A61877"/>
    <w:rsid w:val="00A66131"/>
    <w:rsid w:val="00A6677E"/>
    <w:rsid w:val="00A7202F"/>
    <w:rsid w:val="00A75D11"/>
    <w:rsid w:val="00A76AC3"/>
    <w:rsid w:val="00A83C5A"/>
    <w:rsid w:val="00A86E22"/>
    <w:rsid w:val="00A878E3"/>
    <w:rsid w:val="00A94BEB"/>
    <w:rsid w:val="00A94E35"/>
    <w:rsid w:val="00AA2F83"/>
    <w:rsid w:val="00AA6005"/>
    <w:rsid w:val="00AC1A88"/>
    <w:rsid w:val="00AE4657"/>
    <w:rsid w:val="00AF2868"/>
    <w:rsid w:val="00AF2D52"/>
    <w:rsid w:val="00AF3D2F"/>
    <w:rsid w:val="00AF7487"/>
    <w:rsid w:val="00B031EB"/>
    <w:rsid w:val="00B15710"/>
    <w:rsid w:val="00B20E78"/>
    <w:rsid w:val="00B27E33"/>
    <w:rsid w:val="00B301FA"/>
    <w:rsid w:val="00B32205"/>
    <w:rsid w:val="00B35E9F"/>
    <w:rsid w:val="00B47CF3"/>
    <w:rsid w:val="00B533B5"/>
    <w:rsid w:val="00B545D8"/>
    <w:rsid w:val="00B740A1"/>
    <w:rsid w:val="00B77725"/>
    <w:rsid w:val="00B83A0C"/>
    <w:rsid w:val="00B96F57"/>
    <w:rsid w:val="00BA2C89"/>
    <w:rsid w:val="00BB0B72"/>
    <w:rsid w:val="00BB0D73"/>
    <w:rsid w:val="00BC48A4"/>
    <w:rsid w:val="00BE41DB"/>
    <w:rsid w:val="00BF5302"/>
    <w:rsid w:val="00BF6DD8"/>
    <w:rsid w:val="00C11C6A"/>
    <w:rsid w:val="00C14F4B"/>
    <w:rsid w:val="00C15397"/>
    <w:rsid w:val="00C34A73"/>
    <w:rsid w:val="00C45EFF"/>
    <w:rsid w:val="00C467A5"/>
    <w:rsid w:val="00C46B25"/>
    <w:rsid w:val="00C52558"/>
    <w:rsid w:val="00C56696"/>
    <w:rsid w:val="00C611FA"/>
    <w:rsid w:val="00C620A7"/>
    <w:rsid w:val="00C71421"/>
    <w:rsid w:val="00C7382B"/>
    <w:rsid w:val="00C77F89"/>
    <w:rsid w:val="00C816BF"/>
    <w:rsid w:val="00C828A2"/>
    <w:rsid w:val="00C836E6"/>
    <w:rsid w:val="00C8790D"/>
    <w:rsid w:val="00C911F2"/>
    <w:rsid w:val="00C954D8"/>
    <w:rsid w:val="00CA607B"/>
    <w:rsid w:val="00CB4ED6"/>
    <w:rsid w:val="00CB5367"/>
    <w:rsid w:val="00CC3EFF"/>
    <w:rsid w:val="00CC5248"/>
    <w:rsid w:val="00CD796F"/>
    <w:rsid w:val="00CE1AD4"/>
    <w:rsid w:val="00CE6ADA"/>
    <w:rsid w:val="00CF35CE"/>
    <w:rsid w:val="00D03B1C"/>
    <w:rsid w:val="00D0774B"/>
    <w:rsid w:val="00D12674"/>
    <w:rsid w:val="00D1773E"/>
    <w:rsid w:val="00D341B6"/>
    <w:rsid w:val="00D36043"/>
    <w:rsid w:val="00D56D51"/>
    <w:rsid w:val="00D61D25"/>
    <w:rsid w:val="00D70E75"/>
    <w:rsid w:val="00D74085"/>
    <w:rsid w:val="00D741F3"/>
    <w:rsid w:val="00D86CFD"/>
    <w:rsid w:val="00D93D2E"/>
    <w:rsid w:val="00DA755E"/>
    <w:rsid w:val="00DB1872"/>
    <w:rsid w:val="00DD2CEE"/>
    <w:rsid w:val="00DE1F0D"/>
    <w:rsid w:val="00DE28B9"/>
    <w:rsid w:val="00DE6540"/>
    <w:rsid w:val="00DF710D"/>
    <w:rsid w:val="00E0089A"/>
    <w:rsid w:val="00E43455"/>
    <w:rsid w:val="00E53469"/>
    <w:rsid w:val="00E5515D"/>
    <w:rsid w:val="00E60755"/>
    <w:rsid w:val="00E63660"/>
    <w:rsid w:val="00E72B15"/>
    <w:rsid w:val="00EB77AD"/>
    <w:rsid w:val="00EC557F"/>
    <w:rsid w:val="00EC75B5"/>
    <w:rsid w:val="00F0552C"/>
    <w:rsid w:val="00F13C5F"/>
    <w:rsid w:val="00F16D23"/>
    <w:rsid w:val="00F2203B"/>
    <w:rsid w:val="00F22B34"/>
    <w:rsid w:val="00F27F6D"/>
    <w:rsid w:val="00F329B9"/>
    <w:rsid w:val="00F44BB2"/>
    <w:rsid w:val="00F452D9"/>
    <w:rsid w:val="00F5250B"/>
    <w:rsid w:val="00F70065"/>
    <w:rsid w:val="00F810B7"/>
    <w:rsid w:val="00F87718"/>
    <w:rsid w:val="00FA0274"/>
    <w:rsid w:val="00FA57E6"/>
    <w:rsid w:val="00FB1690"/>
    <w:rsid w:val="00FB27AF"/>
    <w:rsid w:val="00FC2144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60B1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9427E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6E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basedOn w:val="DefaultParagraphFont"/>
    <w:link w:val="ListParagraph"/>
    <w:uiPriority w:val="34"/>
    <w:qFormat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810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71421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1421"/>
    <w:rPr>
      <w:rFonts w:eastAsia="Times New Roman" w:cstheme="minorBidi"/>
      <w:sz w:val="28"/>
      <w:szCs w:val="28"/>
      <w:lang w:val="en-US"/>
    </w:rPr>
  </w:style>
  <w:style w:type="character" w:styleId="Emphasis">
    <w:name w:val="Emphasis"/>
    <w:qFormat/>
    <w:rsid w:val="004676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49427E"/>
    <w:rPr>
      <w:rFonts w:eastAsia="Times New Roman" w:cstheme="minorBidi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56E0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36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object">
    <w:name w:val="object"/>
    <w:basedOn w:val="DefaultParagraphFont"/>
    <w:rsid w:val="00B740A1"/>
  </w:style>
  <w:style w:type="character" w:styleId="Strong">
    <w:name w:val="Strong"/>
    <w:basedOn w:val="DefaultParagraphFont"/>
    <w:uiPriority w:val="22"/>
    <w:qFormat/>
    <w:rsid w:val="007E3AB6"/>
    <w:rPr>
      <w:b/>
      <w:bCs/>
    </w:rPr>
  </w:style>
  <w:style w:type="paragraph" w:styleId="NormalWeb">
    <w:name w:val="Normal (Web)"/>
    <w:basedOn w:val="Normal"/>
    <w:uiPriority w:val="99"/>
    <w:unhideWhenUsed/>
    <w:rsid w:val="003A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ALL/?uri=CELEX:32008D1351&amp;qid=1696327225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1404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Angela Prisacaru</cp:lastModifiedBy>
  <cp:revision>123</cp:revision>
  <cp:lastPrinted>2024-03-05T13:46:00Z</cp:lastPrinted>
  <dcterms:created xsi:type="dcterms:W3CDTF">2021-11-04T06:48:00Z</dcterms:created>
  <dcterms:modified xsi:type="dcterms:W3CDTF">2024-05-17T16:11:00Z</dcterms:modified>
</cp:coreProperties>
</file>