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4A0" w:firstRow="1" w:lastRow="0" w:firstColumn="1" w:lastColumn="0" w:noHBand="0" w:noVBand="1"/>
      </w:tblPr>
      <w:tblGrid>
        <w:gridCol w:w="3946"/>
        <w:gridCol w:w="5042"/>
        <w:gridCol w:w="651"/>
      </w:tblGrid>
      <w:tr w:rsidR="00457A8E" w:rsidRPr="00BA709E" w14:paraId="1FAF0769" w14:textId="77777777" w:rsidTr="003F63CA">
        <w:trPr>
          <w:jc w:val="center"/>
        </w:trPr>
        <w:tc>
          <w:tcPr>
            <w:tcW w:w="5000" w:type="pct"/>
            <w:gridSpan w:val="3"/>
            <w:tcMar>
              <w:top w:w="15" w:type="dxa"/>
              <w:left w:w="45" w:type="dxa"/>
              <w:bottom w:w="15" w:type="dxa"/>
              <w:right w:w="45" w:type="dxa"/>
            </w:tcMar>
            <w:hideMark/>
          </w:tcPr>
          <w:p w14:paraId="60DDB9EE" w14:textId="279EF06E" w:rsidR="00457A8E" w:rsidRPr="00BA709E" w:rsidRDefault="008A3D39" w:rsidP="00250584">
            <w:pPr>
              <w:pStyle w:val="cb"/>
              <w:rPr>
                <w:lang w:val="ro-RO"/>
              </w:rPr>
            </w:pPr>
            <w:r w:rsidRPr="00BA709E">
              <w:rPr>
                <w:lang w:val="ro-RO"/>
              </w:rPr>
              <w:t xml:space="preserve">ANALIZA IMPACTULUI </w:t>
            </w:r>
          </w:p>
          <w:p w14:paraId="39BCFD50" w14:textId="79E767FA" w:rsidR="00D75F70" w:rsidRPr="00D75F70" w:rsidRDefault="00D75F70" w:rsidP="00D75F70">
            <w:pPr>
              <w:pStyle w:val="cb"/>
              <w:rPr>
                <w:color w:val="000000"/>
                <w:lang w:val="ro-RO"/>
              </w:rPr>
            </w:pPr>
            <w:r>
              <w:rPr>
                <w:color w:val="000000"/>
                <w:lang w:val="ro-RO"/>
              </w:rPr>
              <w:t>la</w:t>
            </w:r>
            <w:r w:rsidR="00F45351" w:rsidRPr="00BA709E">
              <w:rPr>
                <w:color w:val="000000"/>
                <w:lang w:val="ro-RO"/>
              </w:rPr>
              <w:t xml:space="preserve"> proiectul Hotărârii Guvern</w:t>
            </w:r>
            <w:r w:rsidR="009A45F9">
              <w:rPr>
                <w:color w:val="000000"/>
                <w:lang w:val="ro-RO"/>
              </w:rPr>
              <w:t>ului</w:t>
            </w:r>
            <w:r w:rsidR="00F45351" w:rsidRPr="00BA709E">
              <w:rPr>
                <w:color w:val="000000"/>
                <w:lang w:val="ro-RO"/>
              </w:rPr>
              <w:t xml:space="preserve"> </w:t>
            </w:r>
            <w:r w:rsidRPr="00D75F70">
              <w:rPr>
                <w:color w:val="000000"/>
                <w:lang w:val="ro-MD"/>
              </w:rPr>
              <w:t xml:space="preserve">privind stabilirea </w:t>
            </w:r>
            <w:r w:rsidRPr="00D75F70">
              <w:rPr>
                <w:color w:val="000000"/>
                <w:lang w:val="ro-RO"/>
              </w:rPr>
              <w:t>Sistemului de depozit pentru ambalaje</w:t>
            </w:r>
          </w:p>
          <w:p w14:paraId="75C4F319" w14:textId="224EB5F9" w:rsidR="00457A8E" w:rsidRPr="00BA709E" w:rsidRDefault="00457A8E" w:rsidP="00250584">
            <w:pPr>
              <w:pStyle w:val="a3"/>
              <w:ind w:firstLine="0"/>
              <w:jc w:val="left"/>
              <w:rPr>
                <w:lang w:val="ro-RO"/>
              </w:rPr>
            </w:pPr>
            <w:r w:rsidRPr="00BA709E">
              <w:rPr>
                <w:lang w:val="ro-RO"/>
              </w:rPr>
              <w:t> </w:t>
            </w:r>
          </w:p>
        </w:tc>
      </w:tr>
      <w:tr w:rsidR="008103CD" w:rsidRPr="00BA709E" w14:paraId="19650E3D" w14:textId="77777777" w:rsidTr="0005353F">
        <w:trPr>
          <w:jc w:val="center"/>
        </w:trPr>
        <w:tc>
          <w:tcPr>
            <w:tcW w:w="2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C0E67" w14:textId="77777777" w:rsidR="00457A8E" w:rsidRPr="00BA709E" w:rsidRDefault="00457A8E" w:rsidP="00250584">
            <w:pPr>
              <w:ind w:firstLine="0"/>
              <w:jc w:val="left"/>
              <w:rPr>
                <w:sz w:val="24"/>
                <w:szCs w:val="24"/>
                <w:lang w:val="ro-RO"/>
              </w:rPr>
            </w:pPr>
            <w:r w:rsidRPr="00BA709E">
              <w:rPr>
                <w:b/>
                <w:bCs/>
                <w:sz w:val="24"/>
                <w:szCs w:val="24"/>
                <w:lang w:val="ro-RO"/>
              </w:rPr>
              <w:t>Titlul analizei impactului</w:t>
            </w:r>
            <w:r w:rsidRPr="00BA709E">
              <w:rPr>
                <w:b/>
                <w:bCs/>
                <w:sz w:val="24"/>
                <w:szCs w:val="24"/>
                <w:lang w:val="ro-RO"/>
              </w:rPr>
              <w:br/>
            </w:r>
            <w:r w:rsidRPr="00BA709E">
              <w:rPr>
                <w:sz w:val="24"/>
                <w:szCs w:val="24"/>
                <w:lang w:val="ro-RO"/>
              </w:rPr>
              <w:t>(poate conţine titlul propunerii de act normativ):</w:t>
            </w:r>
          </w:p>
        </w:tc>
        <w:tc>
          <w:tcPr>
            <w:tcW w:w="295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1554C" w14:textId="53D1BF5E" w:rsidR="008A3D39" w:rsidRPr="00BA709E" w:rsidRDefault="008A3D39" w:rsidP="007B05B1">
            <w:pPr>
              <w:ind w:firstLine="0"/>
              <w:rPr>
                <w:sz w:val="24"/>
                <w:szCs w:val="24"/>
                <w:lang w:val="ro-RO"/>
              </w:rPr>
            </w:pPr>
            <w:r w:rsidRPr="00BA709E">
              <w:rPr>
                <w:sz w:val="24"/>
                <w:szCs w:val="24"/>
                <w:lang w:val="ro-RO"/>
              </w:rPr>
              <w:t xml:space="preserve">Hotărîrea Guvernului </w:t>
            </w:r>
            <w:r w:rsidR="009A45F9" w:rsidRPr="009A45F9">
              <w:rPr>
                <w:sz w:val="24"/>
                <w:szCs w:val="24"/>
                <w:lang w:val="ro-RO"/>
              </w:rPr>
              <w:t>privind stabilirea Sistemului de depozit pentru ambalaje</w:t>
            </w:r>
          </w:p>
          <w:p w14:paraId="59B1E9D9" w14:textId="77777777" w:rsidR="00457A8E" w:rsidRPr="00BA709E" w:rsidRDefault="00457A8E" w:rsidP="008A3D39">
            <w:pPr>
              <w:ind w:firstLine="0"/>
              <w:jc w:val="left"/>
              <w:rPr>
                <w:sz w:val="24"/>
                <w:szCs w:val="24"/>
                <w:lang w:val="ro-RO"/>
              </w:rPr>
            </w:pPr>
          </w:p>
        </w:tc>
      </w:tr>
      <w:tr w:rsidR="008103CD" w:rsidRPr="00BA709E" w14:paraId="0FE623D3" w14:textId="77777777" w:rsidTr="0005353F">
        <w:trPr>
          <w:jc w:val="center"/>
        </w:trPr>
        <w:tc>
          <w:tcPr>
            <w:tcW w:w="2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E00862" w14:textId="77777777" w:rsidR="00457A8E" w:rsidRPr="00BA709E" w:rsidRDefault="00457A8E" w:rsidP="00250584">
            <w:pPr>
              <w:ind w:firstLine="0"/>
              <w:jc w:val="left"/>
              <w:rPr>
                <w:sz w:val="24"/>
                <w:szCs w:val="24"/>
                <w:lang w:val="ro-RO"/>
              </w:rPr>
            </w:pPr>
            <w:r w:rsidRPr="00BA709E">
              <w:rPr>
                <w:b/>
                <w:bCs/>
                <w:sz w:val="24"/>
                <w:szCs w:val="24"/>
                <w:lang w:val="ro-RO"/>
              </w:rPr>
              <w:t>Data:</w:t>
            </w:r>
          </w:p>
        </w:tc>
        <w:tc>
          <w:tcPr>
            <w:tcW w:w="295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E89B8" w14:textId="2473986C" w:rsidR="00457A8E" w:rsidRPr="00BA709E" w:rsidRDefault="009A45F9" w:rsidP="00DD281F">
            <w:pPr>
              <w:ind w:firstLine="0"/>
              <w:jc w:val="left"/>
              <w:rPr>
                <w:sz w:val="24"/>
                <w:szCs w:val="24"/>
                <w:lang w:val="ro-RO"/>
              </w:rPr>
            </w:pPr>
            <w:r>
              <w:rPr>
                <w:sz w:val="24"/>
                <w:szCs w:val="24"/>
                <w:lang w:val="ro-RO"/>
              </w:rPr>
              <w:t>2024</w:t>
            </w:r>
          </w:p>
        </w:tc>
      </w:tr>
      <w:tr w:rsidR="008103CD" w:rsidRPr="00BA709E" w14:paraId="4193F682" w14:textId="77777777" w:rsidTr="0005353F">
        <w:trPr>
          <w:jc w:val="center"/>
        </w:trPr>
        <w:tc>
          <w:tcPr>
            <w:tcW w:w="2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F9102D" w14:textId="77777777" w:rsidR="00457A8E" w:rsidRPr="00BA709E" w:rsidRDefault="00457A8E" w:rsidP="00250584">
            <w:pPr>
              <w:ind w:firstLine="0"/>
              <w:jc w:val="left"/>
              <w:rPr>
                <w:sz w:val="24"/>
                <w:szCs w:val="24"/>
                <w:lang w:val="ro-RO"/>
              </w:rPr>
            </w:pPr>
            <w:r w:rsidRPr="00BA709E">
              <w:rPr>
                <w:b/>
                <w:bCs/>
                <w:sz w:val="24"/>
                <w:szCs w:val="24"/>
                <w:lang w:val="ro-RO"/>
              </w:rPr>
              <w:t>Autoritatea administraţiei publice (autor):</w:t>
            </w:r>
          </w:p>
        </w:tc>
        <w:tc>
          <w:tcPr>
            <w:tcW w:w="295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E3C82" w14:textId="77777777" w:rsidR="008A3D39" w:rsidRPr="00BA709E" w:rsidRDefault="008A3D39" w:rsidP="00DD281F">
            <w:pPr>
              <w:ind w:firstLine="0"/>
              <w:jc w:val="left"/>
              <w:rPr>
                <w:sz w:val="24"/>
                <w:szCs w:val="24"/>
                <w:lang w:val="ro-RO"/>
              </w:rPr>
            </w:pPr>
            <w:r w:rsidRPr="00BA709E">
              <w:rPr>
                <w:sz w:val="24"/>
                <w:szCs w:val="24"/>
                <w:lang w:val="ro-RO"/>
              </w:rPr>
              <w:t xml:space="preserve">Ministerul </w:t>
            </w:r>
            <w:r w:rsidR="00DD281F" w:rsidRPr="00BA709E">
              <w:rPr>
                <w:sz w:val="24"/>
                <w:szCs w:val="24"/>
                <w:lang w:val="ro-RO"/>
              </w:rPr>
              <w:t xml:space="preserve">Mediului </w:t>
            </w:r>
          </w:p>
        </w:tc>
      </w:tr>
      <w:tr w:rsidR="008103CD" w:rsidRPr="00BA709E" w14:paraId="139835C4" w14:textId="77777777" w:rsidTr="0005353F">
        <w:trPr>
          <w:jc w:val="center"/>
        </w:trPr>
        <w:tc>
          <w:tcPr>
            <w:tcW w:w="2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4A44E" w14:textId="77777777" w:rsidR="00457A8E" w:rsidRPr="00BA709E" w:rsidRDefault="00457A8E" w:rsidP="00250584">
            <w:pPr>
              <w:ind w:firstLine="0"/>
              <w:jc w:val="left"/>
              <w:rPr>
                <w:sz w:val="24"/>
                <w:szCs w:val="24"/>
                <w:lang w:val="ro-RO"/>
              </w:rPr>
            </w:pPr>
            <w:r w:rsidRPr="00BA709E">
              <w:rPr>
                <w:b/>
                <w:bCs/>
                <w:sz w:val="24"/>
                <w:szCs w:val="24"/>
                <w:lang w:val="ro-RO"/>
              </w:rPr>
              <w:t>Subdiviziunea:</w:t>
            </w:r>
          </w:p>
        </w:tc>
        <w:tc>
          <w:tcPr>
            <w:tcW w:w="295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01E54" w14:textId="339F41D2" w:rsidR="00F45351" w:rsidRPr="00BA709E" w:rsidRDefault="009A45F9" w:rsidP="00AC674F">
            <w:pPr>
              <w:ind w:firstLine="0"/>
              <w:rPr>
                <w:sz w:val="24"/>
                <w:szCs w:val="24"/>
                <w:lang w:val="ro-RO"/>
              </w:rPr>
            </w:pPr>
            <w:r w:rsidRPr="009A45F9">
              <w:rPr>
                <w:sz w:val="24"/>
                <w:szCs w:val="24"/>
                <w:lang w:val="ro-RO"/>
              </w:rPr>
              <w:t>Direcția politici de gestionare a deșeurilor și a siturilor contaminate</w:t>
            </w:r>
          </w:p>
        </w:tc>
      </w:tr>
      <w:tr w:rsidR="008103CD" w:rsidRPr="00BA709E" w14:paraId="11F2BB2D" w14:textId="77777777" w:rsidTr="0005353F">
        <w:trPr>
          <w:jc w:val="center"/>
        </w:trPr>
        <w:tc>
          <w:tcPr>
            <w:tcW w:w="2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534AFD" w14:textId="77777777" w:rsidR="00457A8E" w:rsidRPr="00BA709E" w:rsidRDefault="00457A8E" w:rsidP="00250584">
            <w:pPr>
              <w:ind w:firstLine="0"/>
              <w:jc w:val="left"/>
              <w:rPr>
                <w:sz w:val="24"/>
                <w:szCs w:val="24"/>
                <w:lang w:val="ro-RO"/>
              </w:rPr>
            </w:pPr>
            <w:r w:rsidRPr="00BA709E">
              <w:rPr>
                <w:b/>
                <w:bCs/>
                <w:sz w:val="24"/>
                <w:szCs w:val="24"/>
                <w:lang w:val="ro-RO"/>
              </w:rPr>
              <w:t>Persoana responsabilă şi datele de contact:</w:t>
            </w:r>
          </w:p>
        </w:tc>
        <w:tc>
          <w:tcPr>
            <w:tcW w:w="295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09AE3" w14:textId="330C399D" w:rsidR="00AC674F" w:rsidRPr="00BA709E" w:rsidRDefault="002E0306" w:rsidP="00DD281F">
            <w:pPr>
              <w:ind w:firstLine="0"/>
              <w:jc w:val="left"/>
              <w:rPr>
                <w:sz w:val="24"/>
                <w:szCs w:val="24"/>
                <w:lang w:val="ro-RO"/>
              </w:rPr>
            </w:pPr>
            <w:r w:rsidRPr="002E0306">
              <w:rPr>
                <w:sz w:val="24"/>
                <w:szCs w:val="24"/>
                <w:lang w:val="ro-RO"/>
              </w:rPr>
              <w:t>Virginia Galatonov, consultant principal,</w:t>
            </w:r>
            <w:r w:rsidRPr="002E0306">
              <w:rPr>
                <w:sz w:val="24"/>
                <w:szCs w:val="24"/>
                <w:lang w:val="ro-RO"/>
              </w:rPr>
              <w:br/>
              <w:t xml:space="preserve">Email: </w:t>
            </w:r>
            <w:hyperlink r:id="rId8" w:history="1">
              <w:r w:rsidRPr="00F7510A">
                <w:rPr>
                  <w:rStyle w:val="a4"/>
                  <w:sz w:val="24"/>
                  <w:szCs w:val="24"/>
                  <w:lang w:val="ro-RO"/>
                </w:rPr>
                <w:t>virginia.galatonov@mediu.gov.md</w:t>
              </w:r>
            </w:hyperlink>
            <w:r w:rsidRPr="002E0306">
              <w:rPr>
                <w:sz w:val="24"/>
                <w:szCs w:val="24"/>
                <w:lang w:val="ro-RO"/>
              </w:rPr>
              <w:br/>
              <w:t>tel.: 022 204-5</w:t>
            </w:r>
            <w:r>
              <w:rPr>
                <w:sz w:val="24"/>
                <w:szCs w:val="24"/>
                <w:lang w:val="ro-RO"/>
              </w:rPr>
              <w:t>8</w:t>
            </w:r>
            <w:r w:rsidRPr="002E0306">
              <w:rPr>
                <w:sz w:val="24"/>
                <w:szCs w:val="24"/>
                <w:lang w:val="ro-RO"/>
              </w:rPr>
              <w:t>2</w:t>
            </w:r>
          </w:p>
        </w:tc>
      </w:tr>
      <w:tr w:rsidR="00457A8E" w:rsidRPr="00BA709E" w14:paraId="18E1E3F2"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03767B" w14:textId="77777777" w:rsidR="00457A8E" w:rsidRPr="00BA709E" w:rsidRDefault="00457A8E" w:rsidP="00250584">
            <w:pPr>
              <w:ind w:firstLine="0"/>
              <w:jc w:val="left"/>
              <w:rPr>
                <w:b/>
                <w:bCs/>
                <w:sz w:val="24"/>
                <w:szCs w:val="24"/>
                <w:lang w:val="ro-RO"/>
              </w:rPr>
            </w:pPr>
          </w:p>
          <w:p w14:paraId="27E50AF3" w14:textId="77777777" w:rsidR="00457A8E" w:rsidRPr="00BA709E" w:rsidRDefault="00457A8E" w:rsidP="00250584">
            <w:pPr>
              <w:ind w:firstLine="0"/>
              <w:jc w:val="left"/>
              <w:rPr>
                <w:b/>
                <w:bCs/>
                <w:sz w:val="24"/>
                <w:szCs w:val="24"/>
                <w:lang w:val="ro-RO"/>
              </w:rPr>
            </w:pPr>
            <w:r w:rsidRPr="00BA709E">
              <w:rPr>
                <w:b/>
                <w:bCs/>
                <w:sz w:val="24"/>
                <w:szCs w:val="24"/>
                <w:lang w:val="ro-RO"/>
              </w:rPr>
              <w:t>Compartimentele analizei impactului</w:t>
            </w:r>
          </w:p>
        </w:tc>
      </w:tr>
      <w:tr w:rsidR="00457A8E" w:rsidRPr="00BA709E" w14:paraId="6E7E6199"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28252" w14:textId="77777777" w:rsidR="00457A8E" w:rsidRPr="00BA709E" w:rsidRDefault="00457A8E" w:rsidP="00250584">
            <w:pPr>
              <w:ind w:firstLine="0"/>
              <w:jc w:val="left"/>
              <w:rPr>
                <w:sz w:val="24"/>
                <w:szCs w:val="24"/>
                <w:lang w:val="ro-RO"/>
              </w:rPr>
            </w:pPr>
            <w:r w:rsidRPr="00BA709E">
              <w:rPr>
                <w:b/>
                <w:bCs/>
                <w:sz w:val="24"/>
                <w:szCs w:val="24"/>
                <w:lang w:val="ro-RO"/>
              </w:rPr>
              <w:t>1. Definirea problemei</w:t>
            </w:r>
          </w:p>
        </w:tc>
      </w:tr>
      <w:tr w:rsidR="008103CD" w:rsidRPr="00BA709E" w14:paraId="1E4D525E"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3144F" w14:textId="77777777" w:rsidR="00457A8E" w:rsidRPr="00BA709E" w:rsidRDefault="00457A8E" w:rsidP="00250584">
            <w:pPr>
              <w:ind w:firstLine="0"/>
              <w:jc w:val="left"/>
              <w:rPr>
                <w:bCs/>
                <w:sz w:val="24"/>
                <w:szCs w:val="24"/>
                <w:lang w:val="ro-RO"/>
              </w:rPr>
            </w:pPr>
            <w:r w:rsidRPr="00BA709E">
              <w:rPr>
                <w:sz w:val="24"/>
                <w:szCs w:val="24"/>
                <w:lang w:val="ro-RO"/>
              </w:rPr>
              <w:t>a) Determinați clar şi concis problema şi/sau problemele care urmează să fie soluţionate</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DED991" w14:textId="77777777" w:rsidR="00457A8E" w:rsidRPr="00BA709E" w:rsidRDefault="00457A8E" w:rsidP="00250584">
            <w:pPr>
              <w:ind w:firstLine="0"/>
              <w:jc w:val="left"/>
              <w:rPr>
                <w:sz w:val="24"/>
                <w:szCs w:val="24"/>
                <w:lang w:val="ro-RO"/>
              </w:rPr>
            </w:pPr>
          </w:p>
        </w:tc>
      </w:tr>
      <w:tr w:rsidR="00457A8E" w:rsidRPr="00BA709E" w14:paraId="4DF38977"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5D920E" w14:textId="0698EB96" w:rsidR="00AA2878" w:rsidRDefault="0052216D" w:rsidP="00227AD5">
            <w:pPr>
              <w:ind w:firstLine="522"/>
              <w:rPr>
                <w:sz w:val="24"/>
                <w:szCs w:val="24"/>
                <w:lang w:val="ro-RO"/>
              </w:rPr>
            </w:pPr>
            <w:r w:rsidRPr="00BA709E">
              <w:rPr>
                <w:sz w:val="24"/>
                <w:szCs w:val="24"/>
                <w:lang w:val="ro-RO"/>
              </w:rPr>
              <w:t>Proiectul</w:t>
            </w:r>
            <w:r w:rsidR="00F763B9" w:rsidRPr="00BA709E">
              <w:rPr>
                <w:sz w:val="24"/>
                <w:szCs w:val="24"/>
                <w:lang w:val="ro-RO"/>
              </w:rPr>
              <w:t xml:space="preserve"> </w:t>
            </w:r>
            <w:r w:rsidR="002E0306" w:rsidRPr="002E0306">
              <w:rPr>
                <w:sz w:val="24"/>
                <w:szCs w:val="24"/>
                <w:lang w:val="ro-RO"/>
              </w:rPr>
              <w:t>Hotărârii Guvernului privind stabilirea Sistemului de depozit pentru ambalaje</w:t>
            </w:r>
            <w:r w:rsidR="00227AD5" w:rsidRPr="00BA709E">
              <w:rPr>
                <w:sz w:val="24"/>
                <w:szCs w:val="24"/>
                <w:lang w:val="ro-RO"/>
              </w:rPr>
              <w:t>,</w:t>
            </w:r>
            <w:r w:rsidR="00F763B9" w:rsidRPr="00BA709E">
              <w:rPr>
                <w:lang w:val="ro-RO"/>
              </w:rPr>
              <w:t xml:space="preserve"> </w:t>
            </w:r>
            <w:r w:rsidR="00F763B9" w:rsidRPr="00BA709E">
              <w:rPr>
                <w:sz w:val="24"/>
                <w:szCs w:val="24"/>
                <w:lang w:val="ro-RO"/>
              </w:rPr>
              <w:t>se elaborează  ca urmare a</w:t>
            </w:r>
            <w:r w:rsidR="000929C0" w:rsidRPr="00BA709E">
              <w:rPr>
                <w:sz w:val="24"/>
                <w:szCs w:val="24"/>
                <w:lang w:val="ro-RO"/>
              </w:rPr>
              <w:t xml:space="preserve"> </w:t>
            </w:r>
            <w:r w:rsidR="00DD281F" w:rsidRPr="00BA709E">
              <w:rPr>
                <w:sz w:val="24"/>
                <w:szCs w:val="24"/>
                <w:lang w:val="ro-RO"/>
              </w:rPr>
              <w:t>modificării</w:t>
            </w:r>
            <w:r w:rsidR="00227AD5" w:rsidRPr="00BA709E">
              <w:rPr>
                <w:sz w:val="24"/>
                <w:szCs w:val="24"/>
                <w:lang w:val="ro-RO"/>
              </w:rPr>
              <w:t xml:space="preserve"> Legii</w:t>
            </w:r>
            <w:r w:rsidR="000929C0" w:rsidRPr="00BA709E">
              <w:rPr>
                <w:sz w:val="24"/>
                <w:szCs w:val="24"/>
                <w:lang w:val="ro-RO"/>
              </w:rPr>
              <w:t xml:space="preserve"> nr </w:t>
            </w:r>
            <w:r w:rsidR="00DD281F" w:rsidRPr="00BA709E">
              <w:rPr>
                <w:sz w:val="24"/>
                <w:szCs w:val="24"/>
                <w:lang w:val="ro-RO"/>
              </w:rPr>
              <w:t xml:space="preserve">209/2016 privind deșeurile, </w:t>
            </w:r>
            <w:r w:rsidR="000929C0" w:rsidRPr="00BA709E">
              <w:rPr>
                <w:sz w:val="24"/>
                <w:szCs w:val="24"/>
                <w:lang w:val="ro-RO"/>
              </w:rPr>
              <w:t xml:space="preserve">care transpune în </w:t>
            </w:r>
            <w:r w:rsidR="001F0C23" w:rsidRPr="00BA709E">
              <w:rPr>
                <w:sz w:val="24"/>
                <w:szCs w:val="24"/>
                <w:lang w:val="ro-RO"/>
              </w:rPr>
              <w:t xml:space="preserve">legislația națională Directiva Cadru privind deșeurile 2008/98/EC. Legea prevede implementarea unui șir de instrumente economice pentru a stimula aplicarea ierarhiei de gestionare a deșeurilor, printre care </w:t>
            </w:r>
            <w:r w:rsidR="001F0C23" w:rsidRPr="00BA709E">
              <w:rPr>
                <w:b/>
                <w:sz w:val="24"/>
                <w:szCs w:val="24"/>
                <w:lang w:val="ro-RO"/>
              </w:rPr>
              <w:t>sistemul de depozit pentru ambalajele de unică folosință și cele reutilizabile</w:t>
            </w:r>
            <w:r w:rsidR="001F0C23" w:rsidRPr="00BA709E">
              <w:rPr>
                <w:sz w:val="24"/>
                <w:szCs w:val="24"/>
                <w:lang w:val="ro-RO"/>
              </w:rPr>
              <w:t>, conform Art. 54, 54</w:t>
            </w:r>
            <w:r w:rsidR="001F0C23" w:rsidRPr="00BA709E">
              <w:rPr>
                <w:sz w:val="24"/>
                <w:szCs w:val="24"/>
                <w:vertAlign w:val="superscript"/>
                <w:lang w:val="ro-RO"/>
              </w:rPr>
              <w:t>1</w:t>
            </w:r>
            <w:r w:rsidR="001F0C23" w:rsidRPr="00BA709E">
              <w:rPr>
                <w:sz w:val="24"/>
                <w:szCs w:val="24"/>
                <w:lang w:val="ro-RO"/>
              </w:rPr>
              <w:t>-51</w:t>
            </w:r>
            <w:r w:rsidR="001F0C23" w:rsidRPr="00BA709E">
              <w:rPr>
                <w:sz w:val="24"/>
                <w:szCs w:val="24"/>
                <w:vertAlign w:val="superscript"/>
                <w:lang w:val="ro-RO"/>
              </w:rPr>
              <w:t>4</w:t>
            </w:r>
            <w:r w:rsidR="00AA2878">
              <w:rPr>
                <w:sz w:val="24"/>
                <w:szCs w:val="24"/>
                <w:lang w:val="ro-RO"/>
              </w:rPr>
              <w:t xml:space="preserve">, care reprezintă un mecanism de implementare a principiului  responsabilității extinse a producătorului. </w:t>
            </w:r>
          </w:p>
          <w:p w14:paraId="7BB8D582" w14:textId="3392815B" w:rsidR="00F763B9" w:rsidRPr="00BA709E" w:rsidRDefault="001F0C23" w:rsidP="00227AD5">
            <w:pPr>
              <w:ind w:firstLine="522"/>
              <w:rPr>
                <w:sz w:val="24"/>
                <w:szCs w:val="24"/>
                <w:lang w:val="ro-RO"/>
              </w:rPr>
            </w:pPr>
            <w:r w:rsidRPr="00BA709E">
              <w:rPr>
                <w:sz w:val="24"/>
                <w:szCs w:val="24"/>
                <w:lang w:val="ro-RO"/>
              </w:rPr>
              <w:t xml:space="preserve">Proiectul de hotărîre își propune să </w:t>
            </w:r>
            <w:r w:rsidR="0005353F">
              <w:rPr>
                <w:sz w:val="24"/>
                <w:szCs w:val="24"/>
                <w:lang w:val="ro-RO"/>
              </w:rPr>
              <w:t>stabilească</w:t>
            </w:r>
            <w:r w:rsidR="0005353F" w:rsidRPr="0005353F">
              <w:rPr>
                <w:sz w:val="24"/>
                <w:szCs w:val="24"/>
                <w:lang w:val="ro-RO"/>
              </w:rPr>
              <w:t xml:space="preserve"> procedura de  organizare și funcționare a </w:t>
            </w:r>
            <w:r w:rsidR="0005353F">
              <w:rPr>
                <w:sz w:val="24"/>
                <w:szCs w:val="24"/>
                <w:lang w:val="ro-RO"/>
              </w:rPr>
              <w:t>s</w:t>
            </w:r>
            <w:r w:rsidR="0005353F" w:rsidRPr="0005353F">
              <w:rPr>
                <w:sz w:val="24"/>
                <w:szCs w:val="24"/>
                <w:lang w:val="ro-RO"/>
              </w:rPr>
              <w:t>istemului de depozit pentru ambalaje</w:t>
            </w:r>
            <w:r w:rsidR="0005353F">
              <w:rPr>
                <w:sz w:val="24"/>
                <w:szCs w:val="24"/>
                <w:lang w:val="ro-RO"/>
              </w:rPr>
              <w:t>.</w:t>
            </w:r>
          </w:p>
          <w:p w14:paraId="7CE3E5CB" w14:textId="77777777" w:rsidR="00457A8E" w:rsidRPr="00BA709E" w:rsidRDefault="00457A8E" w:rsidP="001F0C23">
            <w:pPr>
              <w:pStyle w:val="lf"/>
              <w:rPr>
                <w:rFonts w:eastAsia="Times New Roman"/>
                <w:lang w:val="ro-RO" w:eastAsia="en-US"/>
              </w:rPr>
            </w:pPr>
          </w:p>
        </w:tc>
      </w:tr>
      <w:tr w:rsidR="008103CD" w:rsidRPr="00BA709E" w14:paraId="039B1986"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ED89A7" w14:textId="77777777" w:rsidR="00457A8E" w:rsidRPr="00BA709E" w:rsidRDefault="00457A8E" w:rsidP="00AA2878">
            <w:pPr>
              <w:ind w:firstLine="0"/>
              <w:rPr>
                <w:sz w:val="24"/>
                <w:szCs w:val="24"/>
                <w:lang w:val="ro-RO"/>
              </w:rPr>
            </w:pPr>
            <w:r w:rsidRPr="00BA709E">
              <w:rPr>
                <w:bCs/>
                <w:sz w:val="24"/>
                <w:szCs w:val="24"/>
                <w:lang w:val="ro-RO"/>
              </w:rPr>
              <w:t>b)</w:t>
            </w:r>
            <w:r w:rsidRPr="00BA709E">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DC682F7" w14:textId="77777777" w:rsidR="00457A8E" w:rsidRPr="00BA709E" w:rsidRDefault="00457A8E" w:rsidP="00250584">
            <w:pPr>
              <w:ind w:firstLine="0"/>
              <w:jc w:val="left"/>
              <w:rPr>
                <w:sz w:val="24"/>
                <w:szCs w:val="24"/>
                <w:lang w:val="ro-RO"/>
              </w:rPr>
            </w:pPr>
          </w:p>
        </w:tc>
      </w:tr>
      <w:tr w:rsidR="00AA2878" w:rsidRPr="00BA709E" w14:paraId="0F3C5348"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2ECA59" w14:textId="77777777" w:rsidR="00FB1D3B" w:rsidRPr="00FB1D3B" w:rsidRDefault="00FB1D3B" w:rsidP="00FB1D3B">
            <w:pPr>
              <w:ind w:firstLine="664"/>
              <w:rPr>
                <w:sz w:val="24"/>
                <w:szCs w:val="24"/>
                <w:lang w:val="ro-RO"/>
              </w:rPr>
            </w:pPr>
            <w:r w:rsidRPr="00FB1D3B">
              <w:rPr>
                <w:sz w:val="24"/>
                <w:szCs w:val="24"/>
                <w:lang w:val="ro-RO"/>
              </w:rPr>
              <w:t>Gestionarea deșeurilor în Republica Moldova a fost construită după modelul economiei lineare: extrage – produce – consumă – depozitează. Acest model, implementat pe parcursul ultimelor decenii, a afectat semnificativ calitatea resurselor naturale, deșeurile fiind considerate ca fiind una din sursele principale de poluare a apei, solului și aerului, precum și o sursă de risc major pentru mediu și sănătatea populației,  fapt constatat în Strategia  națională de dezvoltare  „Moldova Europeană 2030”.</w:t>
            </w:r>
          </w:p>
          <w:p w14:paraId="4E1599AA" w14:textId="77777777" w:rsidR="00FB1D3B" w:rsidRPr="00FB1D3B" w:rsidRDefault="00FB1D3B" w:rsidP="00FB1D3B">
            <w:pPr>
              <w:ind w:firstLine="0"/>
              <w:rPr>
                <w:sz w:val="24"/>
                <w:szCs w:val="24"/>
                <w:lang w:val="ro-RO"/>
              </w:rPr>
            </w:pPr>
            <w:r>
              <w:rPr>
                <w:sz w:val="24"/>
                <w:szCs w:val="24"/>
                <w:lang w:val="ro-RO"/>
              </w:rPr>
              <w:t xml:space="preserve">   </w:t>
            </w:r>
            <w:r w:rsidR="00135EB3">
              <w:rPr>
                <w:sz w:val="24"/>
                <w:szCs w:val="24"/>
                <w:lang w:val="ro-RO"/>
              </w:rPr>
              <w:t>Administrarea</w:t>
            </w:r>
            <w:r w:rsidRPr="00FB1D3B">
              <w:rPr>
                <w:sz w:val="24"/>
                <w:szCs w:val="24"/>
                <w:lang w:val="ro-RO"/>
              </w:rPr>
              <w:t xml:space="preserve"> deșeurilor după modelul economiei lineare are un impact negativ asupra calității resurselor naturale, stimulează consumul excesiv de resurse naturale, utilizează irațional terenurile, contribuie la fenomenul schimbărilor climatice, ratează oportunități economice, afectează sănătatea populației și calitatea vieții cetățenilor. În contextul necesității creșterii calității mediului și utilizării durabile a resurselor naturale, având în vedere și dezvoltarea economiei naționale, precum și creșterea calității vieții cetățenilor, gestionarea deșeurilor în Republica Moldova  trebuie realizată după modelul economiei circulare: extrage – produce – consumă – reciclează/valorifică – produce – consumă – reciclează/valorifică, etc. .</w:t>
            </w:r>
          </w:p>
          <w:p w14:paraId="2DB4E6CD" w14:textId="77777777" w:rsidR="00FB1D3B" w:rsidRPr="00FB1D3B" w:rsidRDefault="00FB1D3B" w:rsidP="00FB1D3B">
            <w:pPr>
              <w:pStyle w:val="ac"/>
            </w:pPr>
            <w:r>
              <w:t xml:space="preserve">   </w:t>
            </w:r>
            <w:r w:rsidRPr="00FB1D3B">
              <w:t>Gestionarea deșeurilor este o prioritate a politicii de mediu în Republica Moldova, având drept reper Directivele UE din domeniul gestionării deșeurilor, precum și promovarea economiei circulare, transformând provocările în posibilități și contribuind la dezvoltarea durabilă a societății.</w:t>
            </w:r>
          </w:p>
          <w:p w14:paraId="10070A5C" w14:textId="77777777" w:rsidR="00FB1D3B" w:rsidRDefault="00FB1D3B" w:rsidP="00FB1D3B">
            <w:pPr>
              <w:ind w:firstLine="0"/>
              <w:rPr>
                <w:sz w:val="24"/>
                <w:szCs w:val="24"/>
                <w:lang w:val="ro-RO"/>
              </w:rPr>
            </w:pPr>
            <w:r>
              <w:rPr>
                <w:sz w:val="24"/>
                <w:szCs w:val="24"/>
                <w:lang w:val="ro-RO"/>
              </w:rPr>
              <w:t xml:space="preserve">   </w:t>
            </w:r>
            <w:r w:rsidRPr="00FB1D3B">
              <w:rPr>
                <w:sz w:val="24"/>
                <w:szCs w:val="24"/>
                <w:lang w:val="ro-RO"/>
              </w:rPr>
              <w:t xml:space="preserve">Îmbunătățirea cadrului instituțional și normativ din domeniul protecției mediului, în corespundere cu  Planul de acţiuni pentru implementarea Acordului de Asociere Republica Moldova – Uniunea </w:t>
            </w:r>
            <w:r w:rsidRPr="00FB1D3B">
              <w:rPr>
                <w:sz w:val="24"/>
                <w:szCs w:val="24"/>
                <w:lang w:val="ro-RO"/>
              </w:rPr>
              <w:lastRenderedPageBreak/>
              <w:t>Europeană, precum și angajamentelor asumate în calitate de țara-candidat al UE, având ca obiectiv creșterea calității mediului, sunt principalele argumente pentru transformarea modului de gestionare a deșeurilor la nivel național.</w:t>
            </w:r>
          </w:p>
          <w:p w14:paraId="792534A0" w14:textId="77777777" w:rsidR="00FB1D3B" w:rsidRPr="00FB1D3B" w:rsidRDefault="00FB1D3B" w:rsidP="00FB1D3B">
            <w:pPr>
              <w:ind w:firstLine="664"/>
              <w:rPr>
                <w:sz w:val="24"/>
                <w:szCs w:val="24"/>
                <w:lang w:val="ro-RO"/>
              </w:rPr>
            </w:pPr>
            <w:r w:rsidRPr="00FB1D3B">
              <w:rPr>
                <w:sz w:val="24"/>
                <w:szCs w:val="24"/>
                <w:lang w:val="ro-RO"/>
              </w:rPr>
              <w:t>Cele mai mari provocări care continuă să afecteze dezvoltarea infrastructurii de gestionare a deșeurilor din Republica Moldova pe termen mediu și lung:</w:t>
            </w:r>
          </w:p>
          <w:p w14:paraId="2360C9B9" w14:textId="77777777" w:rsidR="00FB1D3B" w:rsidRPr="00FB1D3B" w:rsidRDefault="00FB1D3B" w:rsidP="00FB1D3B">
            <w:pPr>
              <w:ind w:firstLine="0"/>
              <w:rPr>
                <w:sz w:val="24"/>
                <w:szCs w:val="24"/>
                <w:lang w:val="ro-RO"/>
              </w:rPr>
            </w:pPr>
            <w:r w:rsidRPr="00FB1D3B">
              <w:rPr>
                <w:sz w:val="24"/>
                <w:szCs w:val="24"/>
                <w:lang w:val="ro-RO"/>
              </w:rPr>
              <w:t>1)</w:t>
            </w:r>
            <w:r w:rsidRPr="00FB1D3B">
              <w:rPr>
                <w:sz w:val="24"/>
                <w:szCs w:val="24"/>
                <w:lang w:val="ro-RO"/>
              </w:rPr>
              <w:tab/>
              <w:t>nu toate APL asigură accesul populație din teritoriul administrat  la serviciul public de gestionare a deșeurilor;</w:t>
            </w:r>
          </w:p>
          <w:p w14:paraId="532791C0" w14:textId="77777777" w:rsidR="00FB1D3B" w:rsidRPr="00FB1D3B" w:rsidRDefault="00FB1D3B" w:rsidP="00FB1D3B">
            <w:pPr>
              <w:ind w:firstLine="0"/>
              <w:rPr>
                <w:sz w:val="24"/>
                <w:szCs w:val="24"/>
                <w:lang w:val="ro-RO"/>
              </w:rPr>
            </w:pPr>
            <w:r w:rsidRPr="00FB1D3B">
              <w:rPr>
                <w:sz w:val="24"/>
                <w:szCs w:val="24"/>
                <w:lang w:val="ro-RO"/>
              </w:rPr>
              <w:t>2)</w:t>
            </w:r>
            <w:r w:rsidRPr="00FB1D3B">
              <w:rPr>
                <w:sz w:val="24"/>
                <w:szCs w:val="24"/>
                <w:lang w:val="ro-RO"/>
              </w:rPr>
              <w:tab/>
              <w:t xml:space="preserve">nivel redus de conștientizare a publicului a necesității de achitare a serviciilor de colectare a deșeurilor,  lipsa motivației de a colecta separat deșeurile;  </w:t>
            </w:r>
          </w:p>
          <w:p w14:paraId="300F60E5" w14:textId="77777777" w:rsidR="00FB1D3B" w:rsidRPr="00FB1D3B" w:rsidRDefault="00FB1D3B" w:rsidP="00FB1D3B">
            <w:pPr>
              <w:ind w:firstLine="0"/>
              <w:rPr>
                <w:sz w:val="24"/>
                <w:szCs w:val="24"/>
                <w:lang w:val="ro-RO"/>
              </w:rPr>
            </w:pPr>
            <w:r w:rsidRPr="00FB1D3B">
              <w:rPr>
                <w:sz w:val="24"/>
                <w:szCs w:val="24"/>
                <w:lang w:val="ro-RO"/>
              </w:rPr>
              <w:t>3)</w:t>
            </w:r>
            <w:r w:rsidRPr="00FB1D3B">
              <w:rPr>
                <w:sz w:val="24"/>
                <w:szCs w:val="24"/>
                <w:lang w:val="ro-RO"/>
              </w:rPr>
              <w:tab/>
              <w:t>capacități instituționale ale APL limitate în asigurarea cadrului juridic (tarif sau taxă) pentru recuperarea costului serviciului prestat de colectare a deșeurilor;</w:t>
            </w:r>
          </w:p>
          <w:p w14:paraId="59050B7B" w14:textId="77777777" w:rsidR="00FB1D3B" w:rsidRPr="00FB1D3B" w:rsidRDefault="00FB1D3B" w:rsidP="00FB1D3B">
            <w:pPr>
              <w:ind w:firstLine="0"/>
              <w:rPr>
                <w:sz w:val="24"/>
                <w:szCs w:val="24"/>
                <w:lang w:val="ro-RO"/>
              </w:rPr>
            </w:pPr>
            <w:r w:rsidRPr="00FB1D3B">
              <w:rPr>
                <w:sz w:val="24"/>
                <w:szCs w:val="24"/>
                <w:lang w:val="ro-RO"/>
              </w:rPr>
              <w:t>4)</w:t>
            </w:r>
            <w:r w:rsidRPr="00FB1D3B">
              <w:rPr>
                <w:sz w:val="24"/>
                <w:szCs w:val="24"/>
                <w:lang w:val="ro-RO"/>
              </w:rPr>
              <w:tab/>
              <w:t>nivelul redus al colectării selective a deşeurilor (7%), calitate inferioară a deșeurilor selectate, iar prin urmare dezvoltarea insuficientă a pieţei de reciclare şi valorificare a deşeurilor;</w:t>
            </w:r>
          </w:p>
          <w:p w14:paraId="319642CE" w14:textId="77777777" w:rsidR="00FB1D3B" w:rsidRPr="00FB1D3B" w:rsidRDefault="00FB1D3B" w:rsidP="00FB1D3B">
            <w:pPr>
              <w:ind w:firstLine="0"/>
              <w:rPr>
                <w:sz w:val="24"/>
                <w:szCs w:val="24"/>
                <w:lang w:val="ro-RO"/>
              </w:rPr>
            </w:pPr>
            <w:r w:rsidRPr="00FB1D3B">
              <w:rPr>
                <w:sz w:val="24"/>
                <w:szCs w:val="24"/>
                <w:lang w:val="ro-RO"/>
              </w:rPr>
              <w:t>5)</w:t>
            </w:r>
            <w:r w:rsidRPr="00FB1D3B">
              <w:rPr>
                <w:sz w:val="24"/>
                <w:szCs w:val="24"/>
                <w:lang w:val="ro-RO"/>
              </w:rPr>
              <w:tab/>
              <w:t>dificultăți în satisfacerea necesităților generatorilor de deșeuri în capacități de colectare și tratare a deșeurilor periculoase, care devin tot mai stringente, fiind în creștere atît cantitatea cît și spectrul deșeurilor;</w:t>
            </w:r>
          </w:p>
          <w:p w14:paraId="6C8D997F" w14:textId="77777777" w:rsidR="00FB1D3B" w:rsidRPr="00FB1D3B" w:rsidRDefault="00FB1D3B" w:rsidP="00FB1D3B">
            <w:pPr>
              <w:ind w:firstLine="0"/>
              <w:rPr>
                <w:sz w:val="24"/>
                <w:szCs w:val="24"/>
                <w:lang w:val="ro-RO"/>
              </w:rPr>
            </w:pPr>
            <w:r w:rsidRPr="00FB1D3B">
              <w:rPr>
                <w:sz w:val="24"/>
                <w:szCs w:val="24"/>
                <w:lang w:val="ro-RO"/>
              </w:rPr>
              <w:t>6)</w:t>
            </w:r>
            <w:r w:rsidRPr="00FB1D3B">
              <w:rPr>
                <w:sz w:val="24"/>
                <w:szCs w:val="24"/>
                <w:lang w:val="ro-RO"/>
              </w:rPr>
              <w:tab/>
              <w:t xml:space="preserve">lacune în procedura de eliberare a autorizației de gestionare a deșeurilor, în special pentru conformarea operatorilor existenți la cerințele Legii nr. 209/2016 privind deșeurile;   </w:t>
            </w:r>
          </w:p>
          <w:p w14:paraId="0F4693FA" w14:textId="77777777" w:rsidR="00FB1D3B" w:rsidRPr="00FB1D3B" w:rsidRDefault="00FB1D3B" w:rsidP="00FB1D3B">
            <w:pPr>
              <w:ind w:firstLine="0"/>
              <w:rPr>
                <w:sz w:val="24"/>
                <w:szCs w:val="24"/>
                <w:lang w:val="ro-RO"/>
              </w:rPr>
            </w:pPr>
            <w:r w:rsidRPr="00FB1D3B">
              <w:rPr>
                <w:sz w:val="24"/>
                <w:szCs w:val="24"/>
                <w:lang w:val="ro-RO"/>
              </w:rPr>
              <w:t>7)</w:t>
            </w:r>
            <w:r w:rsidRPr="00FB1D3B">
              <w:rPr>
                <w:sz w:val="24"/>
                <w:szCs w:val="24"/>
                <w:lang w:val="ro-RO"/>
              </w:rPr>
              <w:tab/>
              <w:t>cunoștințe reduse privind oportunitățile internaționale existente ai infrastructurii de tratare a deșeurilor periculoase în țările din vecinătate.</w:t>
            </w:r>
          </w:p>
          <w:p w14:paraId="21A79498" w14:textId="77777777" w:rsidR="00FB1D3B" w:rsidRDefault="00FB1D3B" w:rsidP="00FB1D3B">
            <w:pPr>
              <w:ind w:firstLine="0"/>
              <w:rPr>
                <w:sz w:val="24"/>
                <w:szCs w:val="24"/>
                <w:lang w:val="ro-RO"/>
              </w:rPr>
            </w:pPr>
          </w:p>
          <w:p w14:paraId="34FC5C98" w14:textId="77777777" w:rsidR="00FB1D3B" w:rsidRPr="00FB1D3B" w:rsidRDefault="00FB1D3B" w:rsidP="00FB1D3B">
            <w:pPr>
              <w:ind w:firstLine="664"/>
              <w:rPr>
                <w:sz w:val="24"/>
                <w:szCs w:val="24"/>
              </w:rPr>
            </w:pPr>
            <w:r w:rsidRPr="00FB1D3B">
              <w:rPr>
                <w:sz w:val="24"/>
                <w:szCs w:val="24"/>
              </w:rPr>
              <w:t xml:space="preserve">Politica în domeniul gestionării integrate a deșeurilor constă în crearea sistemelor integrate de gestionare a deșeurilor prin dezvoltarea infrastructurii și a serviciilor necesare, având obiectiv principal prevenirea poluării mediului, reducerea cantităților de deșeuri depozitate, creșterea ratei de reciclare și reducerea consumului de resurse naturale, care stau la baza producerii de bunuri și mărfuri,  atât la nivel global, naţional şi local.  </w:t>
            </w:r>
          </w:p>
          <w:p w14:paraId="5078F0BC" w14:textId="77777777" w:rsidR="00AC1872" w:rsidRPr="00AC1872" w:rsidRDefault="00AC1872" w:rsidP="00AC1872">
            <w:pPr>
              <w:ind w:firstLine="664"/>
              <w:rPr>
                <w:sz w:val="24"/>
                <w:szCs w:val="24"/>
                <w:lang w:val="ro-RO"/>
              </w:rPr>
            </w:pPr>
            <w:r w:rsidRPr="00AC1872">
              <w:rPr>
                <w:sz w:val="24"/>
                <w:szCs w:val="24"/>
                <w:lang w:val="ro-RO"/>
              </w:rPr>
              <w:t>Principalele probleme de gestionare ambalajelor și a deșeurilor de ambalaje sunt:</w:t>
            </w:r>
          </w:p>
          <w:p w14:paraId="4AB83B02" w14:textId="77777777" w:rsidR="00AC1872" w:rsidRPr="00AC1872" w:rsidRDefault="00AC1872" w:rsidP="00AC1872">
            <w:pPr>
              <w:ind w:firstLine="664"/>
              <w:rPr>
                <w:sz w:val="24"/>
                <w:szCs w:val="24"/>
                <w:lang w:val="ro-RO"/>
              </w:rPr>
            </w:pPr>
            <w:r w:rsidRPr="00AC1872">
              <w:rPr>
                <w:sz w:val="24"/>
                <w:szCs w:val="24"/>
                <w:lang w:val="ro-RO"/>
              </w:rPr>
              <w:t>1)</w:t>
            </w:r>
            <w:r w:rsidRPr="00AC1872">
              <w:rPr>
                <w:sz w:val="24"/>
                <w:szCs w:val="24"/>
                <w:lang w:val="ro-RO"/>
              </w:rPr>
              <w:tab/>
              <w:t>din cauza lipsei de conștientizare a publicului și a infrastructurii de sortare a deșeurilor, doar o mică parte din deșeurile de ambalaje din fluxul de deșeuri municipale este sortată;</w:t>
            </w:r>
          </w:p>
          <w:p w14:paraId="18BC85FC" w14:textId="77777777" w:rsidR="00AC1872" w:rsidRPr="00AC1872" w:rsidRDefault="00AC1872" w:rsidP="00AC1872">
            <w:pPr>
              <w:ind w:firstLine="664"/>
              <w:rPr>
                <w:sz w:val="24"/>
                <w:szCs w:val="24"/>
                <w:lang w:val="ro-RO"/>
              </w:rPr>
            </w:pPr>
            <w:r w:rsidRPr="00AC1872">
              <w:rPr>
                <w:sz w:val="24"/>
                <w:szCs w:val="24"/>
                <w:lang w:val="ro-RO"/>
              </w:rPr>
              <w:t>2)</w:t>
            </w:r>
            <w:r w:rsidRPr="00AC1872">
              <w:rPr>
                <w:sz w:val="24"/>
                <w:szCs w:val="24"/>
                <w:lang w:val="ro-RO"/>
              </w:rPr>
              <w:tab/>
              <w:t>colaborare redusă între serviciile de colectare a deșeurilor și deținătorii infrastructurii de reciclarea deșeurilor pentru asigurarea gestionării deșeurilor colectate conform reglementărilor de mediu, inclusiv pentru atingerea țintelor de reciclare;</w:t>
            </w:r>
          </w:p>
          <w:p w14:paraId="136CC840" w14:textId="77777777" w:rsidR="00AC1872" w:rsidRPr="00AC1872" w:rsidRDefault="00AC1872" w:rsidP="00AC1872">
            <w:pPr>
              <w:ind w:firstLine="664"/>
              <w:rPr>
                <w:sz w:val="24"/>
                <w:szCs w:val="24"/>
                <w:lang w:val="ro-RO"/>
              </w:rPr>
            </w:pPr>
            <w:r w:rsidRPr="00AC1872">
              <w:rPr>
                <w:sz w:val="24"/>
                <w:szCs w:val="24"/>
                <w:lang w:val="ro-RO"/>
              </w:rPr>
              <w:t>3)</w:t>
            </w:r>
            <w:r w:rsidRPr="00AC1872">
              <w:rPr>
                <w:sz w:val="24"/>
                <w:szCs w:val="24"/>
                <w:lang w:val="ro-RO"/>
              </w:rPr>
              <w:tab/>
              <w:t>cooperarea între municipalități și organizațiile de producători și importatori de produse ambalate nu este asigurată, persistă lipsă de cunoștințe în implementarea responsabilității extinse a producătorilor;</w:t>
            </w:r>
          </w:p>
          <w:p w14:paraId="4F4AFF77" w14:textId="77777777" w:rsidR="00AC1872" w:rsidRPr="00AC1872" w:rsidRDefault="00AC1872" w:rsidP="00AC1872">
            <w:pPr>
              <w:ind w:firstLine="664"/>
              <w:rPr>
                <w:sz w:val="24"/>
                <w:szCs w:val="24"/>
                <w:lang w:val="ro-RO"/>
              </w:rPr>
            </w:pPr>
            <w:r w:rsidRPr="00AC1872">
              <w:rPr>
                <w:sz w:val="24"/>
                <w:szCs w:val="24"/>
                <w:lang w:val="ro-RO"/>
              </w:rPr>
              <w:t>4)</w:t>
            </w:r>
            <w:r w:rsidRPr="00AC1872">
              <w:rPr>
                <w:sz w:val="24"/>
                <w:szCs w:val="24"/>
                <w:lang w:val="ro-RO"/>
              </w:rPr>
              <w:tab/>
              <w:t>autorizarea activităților de colectare a deșeurilor de ambalaje de către agenți economici care sunt valorificatori, ceea ce contravine implementării principiului ”responsabilității extinse a producătorilor”, avînd impact asupra asigurării țintelor de colectare de către sistemele colective sau individuale, care sunt responsabili de gestionarea acestui flux de deșeuri pe întregul lanț de gestionare – de la colectare pînă la valorificare;</w:t>
            </w:r>
          </w:p>
          <w:p w14:paraId="0B374543" w14:textId="77777777" w:rsidR="00AC1872" w:rsidRPr="00AC1872" w:rsidRDefault="00AC1872" w:rsidP="00AC1872">
            <w:pPr>
              <w:ind w:firstLine="664"/>
              <w:rPr>
                <w:sz w:val="24"/>
                <w:szCs w:val="24"/>
                <w:lang w:val="ro-RO"/>
              </w:rPr>
            </w:pPr>
            <w:r w:rsidRPr="00AC1872">
              <w:rPr>
                <w:sz w:val="24"/>
                <w:szCs w:val="24"/>
                <w:lang w:val="ro-RO"/>
              </w:rPr>
              <w:t>5)</w:t>
            </w:r>
            <w:r w:rsidRPr="00AC1872">
              <w:rPr>
                <w:sz w:val="24"/>
                <w:szCs w:val="24"/>
                <w:lang w:val="ro-RO"/>
              </w:rPr>
              <w:tab/>
              <w:t xml:space="preserve">abordarea problematicii a deșeurilor de ambalaje separat de deșeurile municipale mixte, deșeurile de ambalaje fiind un flux de deșeuri supuse principiului ”responsabilității extinse a producătorilor” care urmează a fi colectate de serviciul de salubrizare, </w:t>
            </w:r>
            <w:r w:rsidRPr="00AC1872">
              <w:rPr>
                <w:sz w:val="24"/>
                <w:szCs w:val="24"/>
                <w:lang w:val="ro-RO"/>
              </w:rPr>
              <w:tab/>
              <w:t xml:space="preserve">pe bază de contract cu sistemele colective și pentru serviciul municipal urmează să obțină veniturile necesare menținerii sistemului integrat de gestionare a deșeurilor. </w:t>
            </w:r>
          </w:p>
          <w:p w14:paraId="6268C453" w14:textId="77777777" w:rsidR="00AC1872" w:rsidRDefault="00AC1872" w:rsidP="00FB1D3B">
            <w:pPr>
              <w:ind w:firstLine="664"/>
              <w:rPr>
                <w:sz w:val="24"/>
                <w:szCs w:val="24"/>
                <w:lang w:val="ro-RO"/>
              </w:rPr>
            </w:pPr>
            <w:r w:rsidRPr="00AC1872">
              <w:rPr>
                <w:sz w:val="24"/>
                <w:szCs w:val="24"/>
                <w:lang w:val="ro-RO"/>
              </w:rPr>
              <w:t>6)</w:t>
            </w:r>
            <w:r w:rsidRPr="00AC1872">
              <w:rPr>
                <w:sz w:val="24"/>
                <w:szCs w:val="24"/>
                <w:lang w:val="ro-RO"/>
              </w:rPr>
              <w:tab/>
              <w:t>inconsistențe în cadrul legislativ axate pe suprapunerea principiului ”poluatorul plătește”  și principul ”responsabili</w:t>
            </w:r>
            <w:r w:rsidR="00135EB3">
              <w:rPr>
                <w:sz w:val="24"/>
                <w:szCs w:val="24"/>
                <w:lang w:val="ro-RO"/>
              </w:rPr>
              <w:t>tății extinse a producătorilor”</w:t>
            </w:r>
          </w:p>
          <w:p w14:paraId="68408BB3" w14:textId="77777777" w:rsidR="00135EB3" w:rsidRPr="00BA709E" w:rsidRDefault="00135EB3" w:rsidP="00DE76E3">
            <w:pPr>
              <w:ind w:firstLine="664"/>
              <w:rPr>
                <w:sz w:val="24"/>
                <w:szCs w:val="24"/>
                <w:lang w:val="ro-RO"/>
              </w:rPr>
            </w:pPr>
            <w:r>
              <w:rPr>
                <w:sz w:val="24"/>
                <w:szCs w:val="24"/>
                <w:lang w:val="ro-RO"/>
              </w:rPr>
              <w:t xml:space="preserve">În ceea ce privește </w:t>
            </w:r>
            <w:r w:rsidR="00DE76E3">
              <w:rPr>
                <w:sz w:val="24"/>
                <w:szCs w:val="24"/>
                <w:lang w:val="ro-RO"/>
              </w:rPr>
              <w:t>r</w:t>
            </w:r>
            <w:r w:rsidRPr="00135EB3">
              <w:rPr>
                <w:sz w:val="24"/>
                <w:szCs w:val="24"/>
                <w:lang w:val="ro-RO"/>
              </w:rPr>
              <w:t>ecipientele pentru băuturi</w:t>
            </w:r>
            <w:r w:rsidR="00DE76E3">
              <w:rPr>
                <w:sz w:val="24"/>
                <w:szCs w:val="24"/>
                <w:lang w:val="ro-RO"/>
              </w:rPr>
              <w:t>, acestea</w:t>
            </w:r>
            <w:r w:rsidRPr="00135EB3">
              <w:rPr>
                <w:sz w:val="24"/>
                <w:szCs w:val="24"/>
                <w:lang w:val="ro-RO"/>
              </w:rPr>
              <w:t xml:space="preserve"> sunt adesea fabricate din materiale ușor reciclabile (plastic PET, sticlă, aluminiu, oțel), dar sunt </w:t>
            </w:r>
            <w:r w:rsidR="00DE76E3">
              <w:rPr>
                <w:sz w:val="24"/>
                <w:szCs w:val="24"/>
                <w:lang w:val="ro-RO"/>
              </w:rPr>
              <w:t>de obicei</w:t>
            </w:r>
            <w:r w:rsidRPr="00135EB3">
              <w:rPr>
                <w:sz w:val="24"/>
                <w:szCs w:val="24"/>
                <w:lang w:val="ro-RO"/>
              </w:rPr>
              <w:t xml:space="preserve"> eliminate în mod necorespunzător, generând externalități negative, inclusiv </w:t>
            </w:r>
            <w:r w:rsidR="00DE76E3">
              <w:rPr>
                <w:sz w:val="24"/>
                <w:szCs w:val="24"/>
                <w:lang w:val="ro-RO"/>
              </w:rPr>
              <w:t>deșeuri abandonate sau depozitate</w:t>
            </w:r>
            <w:r w:rsidRPr="00135EB3">
              <w:rPr>
                <w:sz w:val="24"/>
                <w:szCs w:val="24"/>
                <w:lang w:val="ro-RO"/>
              </w:rPr>
              <w:t xml:space="preserve"> și emisii de CO</w:t>
            </w:r>
            <w:r w:rsidRPr="00DE76E3">
              <w:rPr>
                <w:sz w:val="24"/>
                <w:szCs w:val="24"/>
                <w:vertAlign w:val="subscript"/>
                <w:lang w:val="ro-RO"/>
              </w:rPr>
              <w:t>2</w:t>
            </w:r>
            <w:r w:rsidRPr="00135EB3">
              <w:rPr>
                <w:sz w:val="24"/>
                <w:szCs w:val="24"/>
                <w:lang w:val="ro-RO"/>
              </w:rPr>
              <w:t xml:space="preserve"> din utilizarea materialului virgin pentru a crea produse noi. Un</w:t>
            </w:r>
            <w:r w:rsidR="00DE76E3">
              <w:rPr>
                <w:sz w:val="24"/>
                <w:szCs w:val="24"/>
                <w:lang w:val="ro-RO"/>
              </w:rPr>
              <w:t xml:space="preserve"> sistem</w:t>
            </w:r>
            <w:r w:rsidRPr="00135EB3">
              <w:rPr>
                <w:sz w:val="24"/>
                <w:szCs w:val="24"/>
                <w:lang w:val="ro-RO"/>
              </w:rPr>
              <w:t xml:space="preserve"> </w:t>
            </w:r>
            <w:r w:rsidR="00DE76E3">
              <w:rPr>
                <w:sz w:val="24"/>
                <w:szCs w:val="24"/>
                <w:lang w:val="ro-RO"/>
              </w:rPr>
              <w:t>d</w:t>
            </w:r>
            <w:r w:rsidRPr="00135EB3">
              <w:rPr>
                <w:sz w:val="24"/>
                <w:szCs w:val="24"/>
                <w:lang w:val="ro-RO"/>
              </w:rPr>
              <w:t xml:space="preserve">epozit este un sistem care încurajează returnarea ambalajului la punctele de colectare prin </w:t>
            </w:r>
            <w:r w:rsidR="00DE76E3">
              <w:rPr>
                <w:sz w:val="24"/>
                <w:szCs w:val="24"/>
                <w:lang w:val="ro-RO"/>
              </w:rPr>
              <w:t>oferirea posibilității de a primi</w:t>
            </w:r>
            <w:r w:rsidRPr="00135EB3">
              <w:rPr>
                <w:sz w:val="24"/>
                <w:szCs w:val="24"/>
                <w:lang w:val="ro-RO"/>
              </w:rPr>
              <w:t xml:space="preserve"> </w:t>
            </w:r>
            <w:r w:rsidRPr="00135EB3">
              <w:rPr>
                <w:sz w:val="24"/>
                <w:szCs w:val="24"/>
                <w:lang w:val="ro-RO"/>
              </w:rPr>
              <w:lastRenderedPageBreak/>
              <w:t>depozit</w:t>
            </w:r>
            <w:r w:rsidR="00DE76E3">
              <w:rPr>
                <w:sz w:val="24"/>
                <w:szCs w:val="24"/>
                <w:lang w:val="ro-RO"/>
              </w:rPr>
              <w:t>ul</w:t>
            </w:r>
            <w:r w:rsidRPr="00135EB3">
              <w:rPr>
                <w:sz w:val="24"/>
                <w:szCs w:val="24"/>
                <w:lang w:val="ro-RO"/>
              </w:rPr>
              <w:t xml:space="preserve"> rambursabil plătit de consumatori la punctul de cumpărare. Prețul recipientelor pentru băuturi acționează ca un stimulent împotriva eliminării necorespunzătoare, crescând rata de reciclare și reducând </w:t>
            </w:r>
            <w:r w:rsidR="00DE76E3">
              <w:rPr>
                <w:sz w:val="24"/>
                <w:szCs w:val="24"/>
                <w:lang w:val="ro-RO"/>
              </w:rPr>
              <w:t>cantitatea de deșeuri</w:t>
            </w:r>
            <w:r w:rsidRPr="00135EB3">
              <w:rPr>
                <w:sz w:val="24"/>
                <w:szCs w:val="24"/>
                <w:lang w:val="ro-RO"/>
              </w:rPr>
              <w:t>. Intervenția guvernului este necesară pentru a realiza ace</w:t>
            </w:r>
            <w:r w:rsidR="00DE76E3">
              <w:rPr>
                <w:sz w:val="24"/>
                <w:szCs w:val="24"/>
                <w:lang w:val="ro-RO"/>
              </w:rPr>
              <w:t xml:space="preserve">astă schimbare de comportament a consumatorilor. </w:t>
            </w:r>
            <w:r w:rsidRPr="00135EB3">
              <w:rPr>
                <w:sz w:val="24"/>
                <w:szCs w:val="24"/>
                <w:lang w:val="ro-RO"/>
              </w:rPr>
              <w:t>​</w:t>
            </w:r>
          </w:p>
        </w:tc>
      </w:tr>
      <w:tr w:rsidR="008103CD" w:rsidRPr="00BA709E" w14:paraId="7B665197"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3B14C" w14:textId="77777777" w:rsidR="00457A8E" w:rsidRPr="00BA709E" w:rsidRDefault="00457A8E" w:rsidP="00250584">
            <w:pPr>
              <w:ind w:firstLine="0"/>
              <w:jc w:val="left"/>
              <w:rPr>
                <w:sz w:val="24"/>
                <w:szCs w:val="24"/>
                <w:lang w:val="ro-RO"/>
              </w:rPr>
            </w:pPr>
            <w:r w:rsidRPr="00BA709E">
              <w:rPr>
                <w:bCs/>
                <w:sz w:val="24"/>
                <w:szCs w:val="24"/>
                <w:lang w:val="ro-RO"/>
              </w:rPr>
              <w:lastRenderedPageBreak/>
              <w:t>c)</w:t>
            </w:r>
            <w:r w:rsidRPr="00BA709E">
              <w:rPr>
                <w:sz w:val="24"/>
                <w:szCs w:val="24"/>
                <w:lang w:val="ro-RO"/>
              </w:rPr>
              <w:t xml:space="preserve"> Expuneți clar cauzele care au dus la apariţia problemei</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C576AA" w14:textId="77777777" w:rsidR="00457A8E" w:rsidRPr="00BA709E" w:rsidRDefault="00457A8E" w:rsidP="00250584">
            <w:pPr>
              <w:ind w:firstLine="0"/>
              <w:jc w:val="left"/>
              <w:rPr>
                <w:sz w:val="24"/>
                <w:szCs w:val="24"/>
                <w:lang w:val="ro-RO"/>
              </w:rPr>
            </w:pPr>
          </w:p>
        </w:tc>
      </w:tr>
      <w:tr w:rsidR="00AA2878" w:rsidRPr="00BA709E" w14:paraId="2F5E0945" w14:textId="77777777" w:rsidTr="0005353F">
        <w:trPr>
          <w:jc w:val="center"/>
        </w:trPr>
        <w:tc>
          <w:tcPr>
            <w:tcW w:w="5000" w:type="pct"/>
            <w:gridSpan w:val="3"/>
            <w:tcBorders>
              <w:top w:val="nil"/>
              <w:left w:val="single" w:sz="6" w:space="0" w:color="000000"/>
              <w:bottom w:val="single" w:sz="6" w:space="0" w:color="000000"/>
              <w:right w:val="single" w:sz="6" w:space="0" w:color="000000"/>
            </w:tcBorders>
          </w:tcPr>
          <w:p w14:paraId="1F54F509" w14:textId="77777777" w:rsidR="00621098" w:rsidRDefault="00AC1872" w:rsidP="00AA2878">
            <w:pPr>
              <w:ind w:firstLine="522"/>
              <w:rPr>
                <w:sz w:val="24"/>
                <w:szCs w:val="24"/>
                <w:lang w:val="ro-RO"/>
              </w:rPr>
            </w:pPr>
            <w:r w:rsidRPr="00AC1872">
              <w:rPr>
                <w:sz w:val="24"/>
                <w:szCs w:val="24"/>
                <w:lang w:val="ro-RO"/>
              </w:rPr>
              <w:t xml:space="preserve">Organizația Națiunilor Unite a avertizat că în 2017 producția de plastic a explodat până la 384 de milioane de tone metrice, față de 2 </w:t>
            </w:r>
            <w:r w:rsidR="00621098">
              <w:rPr>
                <w:sz w:val="24"/>
                <w:szCs w:val="24"/>
                <w:lang w:val="ro-RO"/>
              </w:rPr>
              <w:t>milioane de tone în 1950</w:t>
            </w:r>
            <w:r w:rsidRPr="00AC1872">
              <w:rPr>
                <w:sz w:val="24"/>
                <w:szCs w:val="24"/>
                <w:lang w:val="ro-RO"/>
              </w:rPr>
              <w:t xml:space="preserve">. În consecință, deșeurile de plastic sunt un poluant găsit în fiecare ecosistem la nivel global și s-a dovedit că provoacă daune semnificative naturii, oamenilor și vieții sălbatice. </w:t>
            </w:r>
          </w:p>
          <w:p w14:paraId="19491265" w14:textId="77777777" w:rsidR="00AC1872" w:rsidRDefault="00AC1872" w:rsidP="00AA2878">
            <w:pPr>
              <w:ind w:firstLine="522"/>
              <w:rPr>
                <w:sz w:val="24"/>
                <w:szCs w:val="24"/>
                <w:lang w:val="ro-RO"/>
              </w:rPr>
            </w:pPr>
            <w:r w:rsidRPr="00AC1872">
              <w:rPr>
                <w:sz w:val="24"/>
                <w:szCs w:val="24"/>
                <w:lang w:val="ro-RO"/>
              </w:rPr>
              <w:t xml:space="preserve">În </w:t>
            </w:r>
            <w:r w:rsidR="00621098">
              <w:rPr>
                <w:sz w:val="24"/>
                <w:szCs w:val="24"/>
                <w:lang w:val="ro-RO"/>
              </w:rPr>
              <w:t xml:space="preserve">prezent se negociază </w:t>
            </w:r>
            <w:r w:rsidRPr="00AC1872">
              <w:rPr>
                <w:sz w:val="24"/>
                <w:szCs w:val="24"/>
                <w:lang w:val="ro-RO"/>
              </w:rPr>
              <w:t>primul tratat de</w:t>
            </w:r>
            <w:r w:rsidR="00621098">
              <w:rPr>
                <w:sz w:val="24"/>
                <w:szCs w:val="24"/>
                <w:lang w:val="ro-RO"/>
              </w:rPr>
              <w:t xml:space="preserve"> combatere a</w:t>
            </w:r>
            <w:r w:rsidRPr="00AC1872">
              <w:rPr>
                <w:sz w:val="24"/>
                <w:szCs w:val="24"/>
                <w:lang w:val="ro-RO"/>
              </w:rPr>
              <w:t xml:space="preserve"> polu</w:t>
            </w:r>
            <w:r w:rsidR="00621098">
              <w:rPr>
                <w:sz w:val="24"/>
                <w:szCs w:val="24"/>
                <w:lang w:val="ro-RO"/>
              </w:rPr>
              <w:t>ării cu plastic, iar</w:t>
            </w:r>
            <w:r w:rsidRPr="00AC1872">
              <w:rPr>
                <w:sz w:val="24"/>
                <w:szCs w:val="24"/>
                <w:lang w:val="ro-RO"/>
              </w:rPr>
              <w:t xml:space="preserve"> deșeurile de plastic au fost recunoscute ca o amenințare </w:t>
            </w:r>
            <w:r w:rsidR="00621098">
              <w:rPr>
                <w:sz w:val="24"/>
                <w:szCs w:val="24"/>
                <w:lang w:val="ro-RO"/>
              </w:rPr>
              <w:t xml:space="preserve">serioasă pentru planeta noastră, fiind </w:t>
            </w:r>
            <w:r w:rsidRPr="00AC1872">
              <w:rPr>
                <w:sz w:val="24"/>
                <w:szCs w:val="24"/>
                <w:lang w:val="ro-RO"/>
              </w:rPr>
              <w:t>abordat</w:t>
            </w:r>
            <w:r w:rsidR="00621098">
              <w:rPr>
                <w:sz w:val="24"/>
                <w:szCs w:val="24"/>
                <w:lang w:val="ro-RO"/>
              </w:rPr>
              <w:t>ă</w:t>
            </w:r>
            <w:r w:rsidRPr="00AC1872">
              <w:rPr>
                <w:sz w:val="24"/>
                <w:szCs w:val="24"/>
                <w:lang w:val="ro-RO"/>
              </w:rPr>
              <w:t xml:space="preserve"> ne</w:t>
            </w:r>
            <w:r w:rsidR="00621098">
              <w:rPr>
                <w:sz w:val="24"/>
                <w:szCs w:val="24"/>
                <w:lang w:val="ro-RO"/>
              </w:rPr>
              <w:t>cesitatea</w:t>
            </w:r>
            <w:r w:rsidRPr="00AC1872">
              <w:rPr>
                <w:sz w:val="24"/>
                <w:szCs w:val="24"/>
                <w:lang w:val="ro-RO"/>
              </w:rPr>
              <w:t xml:space="preserve"> de a rezolva această problemă până în </w:t>
            </w:r>
            <w:r w:rsidR="00621098">
              <w:rPr>
                <w:sz w:val="24"/>
                <w:szCs w:val="24"/>
                <w:lang w:val="ro-RO"/>
              </w:rPr>
              <w:t xml:space="preserve">anul </w:t>
            </w:r>
            <w:r w:rsidRPr="00AC1872">
              <w:rPr>
                <w:sz w:val="24"/>
                <w:szCs w:val="24"/>
                <w:lang w:val="ro-RO"/>
              </w:rPr>
              <w:t xml:space="preserve">2040. Țările cu venituri mici și medii se confruntă cu o provocare </w:t>
            </w:r>
            <w:r w:rsidR="00621098">
              <w:rPr>
                <w:sz w:val="24"/>
                <w:szCs w:val="24"/>
                <w:lang w:val="ro-RO"/>
              </w:rPr>
              <w:t>deosebită</w:t>
            </w:r>
            <w:r w:rsidRPr="00AC1872">
              <w:rPr>
                <w:sz w:val="24"/>
                <w:szCs w:val="24"/>
                <w:lang w:val="ro-RO"/>
              </w:rPr>
              <w:t>, având în vedere complicați</w:t>
            </w:r>
            <w:r w:rsidR="00621098">
              <w:rPr>
                <w:sz w:val="24"/>
                <w:szCs w:val="24"/>
                <w:lang w:val="ro-RO"/>
              </w:rPr>
              <w:t>ile</w:t>
            </w:r>
            <w:r w:rsidR="00DD257B">
              <w:rPr>
                <w:sz w:val="24"/>
                <w:szCs w:val="24"/>
                <w:lang w:val="ro-RO"/>
              </w:rPr>
              <w:t xml:space="preserve"> cu care se confruntă frecvent, în special cele asociate cu lipsa </w:t>
            </w:r>
            <w:r w:rsidRPr="00AC1872">
              <w:rPr>
                <w:sz w:val="24"/>
                <w:szCs w:val="24"/>
                <w:lang w:val="ro-RO"/>
              </w:rPr>
              <w:t xml:space="preserve"> </w:t>
            </w:r>
            <w:r w:rsidR="00DD257B">
              <w:rPr>
                <w:sz w:val="24"/>
                <w:szCs w:val="24"/>
                <w:lang w:val="ro-RO"/>
              </w:rPr>
              <w:t>resurselor financiare</w:t>
            </w:r>
            <w:r w:rsidRPr="00AC1872">
              <w:rPr>
                <w:sz w:val="24"/>
                <w:szCs w:val="24"/>
                <w:lang w:val="ro-RO"/>
              </w:rPr>
              <w:t xml:space="preserve"> suficient</w:t>
            </w:r>
            <w:r w:rsidR="00DD257B">
              <w:rPr>
                <w:sz w:val="24"/>
                <w:szCs w:val="24"/>
                <w:lang w:val="ro-RO"/>
              </w:rPr>
              <w:t xml:space="preserve">e pentru </w:t>
            </w:r>
            <w:r w:rsidRPr="00AC1872">
              <w:rPr>
                <w:sz w:val="24"/>
                <w:szCs w:val="24"/>
                <w:lang w:val="ro-RO"/>
              </w:rPr>
              <w:t>un sistem de management al deșeurilor integral și funcțional.</w:t>
            </w:r>
            <w:r w:rsidR="00DD257B">
              <w:rPr>
                <w:sz w:val="24"/>
                <w:szCs w:val="24"/>
                <w:lang w:val="ro-RO"/>
              </w:rPr>
              <w:t xml:space="preserve"> </w:t>
            </w:r>
            <w:r w:rsidR="00DD257B" w:rsidRPr="00BA709E">
              <w:rPr>
                <w:sz w:val="24"/>
                <w:szCs w:val="24"/>
                <w:lang w:val="ro-RO"/>
              </w:rPr>
              <w:t>În contextul creşterii economice a volumului şi diversităţii deşeurilor generate, gestionarea şi reciclarea acestora reprezintă priorităţi locale, naţionale şi internaţionale.</w:t>
            </w:r>
          </w:p>
          <w:p w14:paraId="2353620B" w14:textId="77777777" w:rsidR="00621098" w:rsidRPr="00621098" w:rsidRDefault="00DD257B" w:rsidP="00621098">
            <w:pPr>
              <w:ind w:firstLine="664"/>
              <w:rPr>
                <w:sz w:val="24"/>
                <w:szCs w:val="24"/>
                <w:lang w:val="ro-RO"/>
              </w:rPr>
            </w:pPr>
            <w:r>
              <w:rPr>
                <w:sz w:val="24"/>
                <w:szCs w:val="24"/>
                <w:lang w:val="ro-RO"/>
              </w:rPr>
              <w:t>În ceea ce privește ambalajele de băuturi, necesită a fi menționat că, în rezultatul</w:t>
            </w:r>
            <w:r w:rsidR="00621098" w:rsidRPr="00621098">
              <w:rPr>
                <w:sz w:val="24"/>
                <w:szCs w:val="24"/>
                <w:lang w:val="ro-RO"/>
              </w:rPr>
              <w:t xml:space="preserve"> </w:t>
            </w:r>
            <w:r w:rsidR="00621098">
              <w:rPr>
                <w:sz w:val="24"/>
                <w:szCs w:val="24"/>
                <w:lang w:val="ro-RO"/>
              </w:rPr>
              <w:t>dezvoltării vertiginoase a</w:t>
            </w:r>
            <w:r w:rsidR="00621098" w:rsidRPr="00621098">
              <w:rPr>
                <w:sz w:val="24"/>
                <w:szCs w:val="24"/>
                <w:lang w:val="ro-RO"/>
              </w:rPr>
              <w:t xml:space="preserve"> industriei de îmbuteliere în jurul anilor '70, a creșterii costurilor de transport și a distanțelor, a creșterii consumerismului și a confortului clienților, consumul de recipiente pentru băuturi de unică folosință a crescut exponențial.</w:t>
            </w:r>
          </w:p>
          <w:p w14:paraId="50E5000F" w14:textId="77777777" w:rsidR="00621098" w:rsidRDefault="00621098" w:rsidP="00621098">
            <w:pPr>
              <w:ind w:firstLine="664"/>
              <w:rPr>
                <w:sz w:val="24"/>
                <w:szCs w:val="24"/>
                <w:lang w:val="ro-RO"/>
              </w:rPr>
            </w:pPr>
            <w:r w:rsidRPr="00621098">
              <w:rPr>
                <w:sz w:val="24"/>
                <w:szCs w:val="24"/>
                <w:lang w:val="ro-RO"/>
              </w:rPr>
              <w:t xml:space="preserve">Sistemul de depozit a început să apară </w:t>
            </w:r>
            <w:r>
              <w:rPr>
                <w:sz w:val="24"/>
                <w:szCs w:val="24"/>
                <w:lang w:val="ro-RO"/>
              </w:rPr>
              <w:t>ca o contramăsură pentru a rezolva problemele emergente</w:t>
            </w:r>
            <w:r w:rsidRPr="00621098">
              <w:rPr>
                <w:sz w:val="24"/>
                <w:szCs w:val="24"/>
                <w:lang w:val="ro-RO"/>
              </w:rPr>
              <w:t xml:space="preserve">. Islanda a fost prima țară în 1989 care a înființat un </w:t>
            </w:r>
            <w:r>
              <w:rPr>
                <w:sz w:val="24"/>
                <w:szCs w:val="24"/>
                <w:lang w:val="ro-RO"/>
              </w:rPr>
              <w:t>SD</w:t>
            </w:r>
            <w:r w:rsidRPr="00621098">
              <w:rPr>
                <w:sz w:val="24"/>
                <w:szCs w:val="24"/>
                <w:lang w:val="ro-RO"/>
              </w:rPr>
              <w:t xml:space="preserve"> la nivel național pentru o gamă largă de recipiente pentru băuturi. Suedia, în 1994, și-a mărit domeniul de aplicare de la conserve la sticle de plastic. Ca urmare a acestei tendințe, țări precum Norvegia, Finlanda, Germania, Țările de Jos, Estonia și Croația au implementat sisteme similare în jurul anilor 2000. Cea mai recentă țară din UE care</w:t>
            </w:r>
            <w:r>
              <w:rPr>
                <w:sz w:val="24"/>
                <w:szCs w:val="24"/>
                <w:lang w:val="ro-RO"/>
              </w:rPr>
              <w:t xml:space="preserve"> a introdus SD a fost Lituania</w:t>
            </w:r>
            <w:r w:rsidRPr="00621098">
              <w:rPr>
                <w:sz w:val="24"/>
                <w:szCs w:val="24"/>
                <w:lang w:val="ro-RO"/>
              </w:rPr>
              <w:t>.</w:t>
            </w:r>
            <w:r>
              <w:rPr>
                <w:sz w:val="24"/>
                <w:szCs w:val="24"/>
                <w:lang w:val="ro-RO"/>
              </w:rPr>
              <w:t xml:space="preserve"> </w:t>
            </w:r>
          </w:p>
          <w:p w14:paraId="7C4024E6" w14:textId="77777777" w:rsidR="005C716C" w:rsidRDefault="005C716C" w:rsidP="005C716C">
            <w:pPr>
              <w:rPr>
                <w:color w:val="000000"/>
                <w:sz w:val="24"/>
                <w:szCs w:val="24"/>
                <w:lang w:val="ro-RO"/>
              </w:rPr>
            </w:pPr>
            <w:r w:rsidRPr="00C658EB">
              <w:rPr>
                <w:color w:val="0D0D0D"/>
                <w:sz w:val="24"/>
                <w:szCs w:val="24"/>
                <w:lang w:val="ro-RO"/>
              </w:rPr>
              <w:t>Gestionarea deşeurilor reprezintă una dintre problemele importante cu care se confruntă </w:t>
            </w:r>
            <w:r>
              <w:rPr>
                <w:color w:val="0D0D0D"/>
                <w:sz w:val="24"/>
                <w:szCs w:val="24"/>
                <w:lang w:val="ro-RO"/>
              </w:rPr>
              <w:t>și</w:t>
            </w:r>
            <w:r w:rsidRPr="00C658EB">
              <w:rPr>
                <w:color w:val="0D0D0D"/>
                <w:sz w:val="24"/>
                <w:szCs w:val="24"/>
                <w:lang w:val="ro-RO"/>
              </w:rPr>
              <w:t xml:space="preserve"> Republica Moldova în activităţile de protecţie a mediului. În prezent, problema deşeurilor se manifestă, tot mai acut, din cauza creşterii cantităţii şi diversităţii acestora, precum şi a impactul lor negativ, tot mai pronunţat, asupra mediului înconjurător. Dezvoltarea urbanistică şi industrială a localităţilor, precum şi creşterea generală a nivelului de trai al populaţiei, antrenează producerea unor cantităţi din ce în ce mai mari de deşeuri. </w:t>
            </w:r>
            <w:r w:rsidRPr="00C658EB">
              <w:rPr>
                <w:color w:val="000000"/>
                <w:sz w:val="24"/>
                <w:szCs w:val="24"/>
                <w:lang w:val="ro-RO"/>
              </w:rPr>
              <w:t>Obiectivele de bază ale politicii actuale a Uniunii Europene privind deşeurile, la care urmează să ne aliniem, constau în prevenirea generării deşeurilor şi în promovarea reutilizării, reciclării şi recuperării pentru asigurarea protecţiei mediului. Deşeurile sînt din ce în ce mai mult percepute ca o sursă de materie primă valoroasă pentru sectorul industrial, cu abordări cum ar fi reutilizarea, reciclarea şi recuperarea de energie, este aplicată reglementarea deşeurilor de ambalare, a vehiculelor scoase din uz, a deşeurilor de echipamente electrice şi electronice, deşeurilor biodegradabile şi anvelopelor.</w:t>
            </w:r>
          </w:p>
          <w:p w14:paraId="43D48982" w14:textId="77777777" w:rsidR="000B3435" w:rsidRDefault="000B3435" w:rsidP="000B3435">
            <w:pPr>
              <w:ind w:firstLine="664"/>
              <w:rPr>
                <w:sz w:val="24"/>
                <w:szCs w:val="24"/>
                <w:lang w:val="ro-RO"/>
              </w:rPr>
            </w:pPr>
            <w:r w:rsidRPr="00AA2878">
              <w:rPr>
                <w:sz w:val="24"/>
                <w:szCs w:val="24"/>
                <w:lang w:val="ro-RO"/>
              </w:rPr>
              <w:t>Conform datelor privind compoziția morfologică a deșeurilor municipale, rezultă că deșeurile de ambalaje ce se regăsesc în deșeurile municipale reprezintă circa 40-50%. Toți producătorii care plasează pe piață ambalaje și produse ambalate urmează să se înregistreze în Lista producătorilor de produse supuse reglementărilor de responsabilitate Extinsă a Producătorului și să prezinte date privind tipurile și cantitatea  de ambalaje plasată pe piață anual</w:t>
            </w:r>
            <w:r>
              <w:rPr>
                <w:sz w:val="24"/>
                <w:szCs w:val="24"/>
                <w:lang w:val="ro-RO"/>
              </w:rPr>
              <w:t>.</w:t>
            </w:r>
          </w:p>
          <w:p w14:paraId="4BAC271A" w14:textId="77777777" w:rsidR="000B3435" w:rsidRDefault="000B3435" w:rsidP="000B3435">
            <w:pPr>
              <w:ind w:firstLine="664"/>
              <w:rPr>
                <w:sz w:val="24"/>
                <w:szCs w:val="24"/>
                <w:lang w:val="ro-RO"/>
              </w:rPr>
            </w:pPr>
            <w:r w:rsidRPr="00AC1872">
              <w:rPr>
                <w:sz w:val="24"/>
                <w:szCs w:val="24"/>
                <w:lang w:val="ro-RO"/>
              </w:rPr>
              <w:t>Conform Legii nr. 209/2016 privind deșeurile</w:t>
            </w:r>
            <w:r>
              <w:rPr>
                <w:sz w:val="24"/>
                <w:szCs w:val="24"/>
                <w:lang w:val="ro-RO"/>
              </w:rPr>
              <w:t xml:space="preserve"> Art. 12</w:t>
            </w:r>
            <w:r w:rsidRPr="00AC1872">
              <w:rPr>
                <w:sz w:val="24"/>
                <w:szCs w:val="24"/>
                <w:lang w:val="ro-RO"/>
              </w:rPr>
              <w:t xml:space="preserve">, operatorii economici care introduc pe piață ambalaje și produse ambalate sunt responsabili să asigure gestionarea ambalajelor devenite deșeuri pe teritoriul național. Gestionarea efectivă a deșeurilor de ambalaje se realizează prin intermediul operatoriilor de colectare și operatorii de tratare (stații de sortare, operatori economici care realizează reciclarea/valorificarea și operatorii depozitelor de deșeuri, care preiau deșeurile de ambalaje nevalorificate). Astfel la dezvoltarea sistemelor integrare de gestionare a deșeurilor municipale operatorii specializați pentru colectarea deșeurilor, de comun acord cu  sistemele </w:t>
            </w:r>
            <w:r w:rsidRPr="00AC1872">
              <w:rPr>
                <w:sz w:val="24"/>
                <w:szCs w:val="24"/>
                <w:lang w:val="ro-RO"/>
              </w:rPr>
              <w:lastRenderedPageBreak/>
              <w:t>colective responsabile de gestionarea deșeurilor de ambalaje și reciclatorii vor stabili modalitatea de atingere a  țintelor  de reciclare și valorificare pentru fiecare tip de ambalaj.</w:t>
            </w:r>
          </w:p>
          <w:p w14:paraId="2664F959" w14:textId="77777777" w:rsidR="005C716C" w:rsidRPr="00C658EB" w:rsidRDefault="005C716C" w:rsidP="005C716C">
            <w:pPr>
              <w:rPr>
                <w:sz w:val="24"/>
                <w:szCs w:val="24"/>
                <w:lang w:val="ro-RO"/>
              </w:rPr>
            </w:pPr>
            <w:r w:rsidRPr="00C658EB">
              <w:rPr>
                <w:color w:val="0D0D0D"/>
                <w:sz w:val="24"/>
                <w:szCs w:val="24"/>
                <w:lang w:val="ro-RO"/>
              </w:rPr>
              <w:t>Gestionarea deşeurilor în Republica Moldova este un domeniu greu de administrat atât pentru orașe, cât și pentru mediu rural.</w:t>
            </w:r>
            <w:r>
              <w:rPr>
                <w:color w:val="0D0D0D"/>
                <w:sz w:val="24"/>
                <w:szCs w:val="24"/>
                <w:lang w:val="ro-RO"/>
              </w:rPr>
              <w:t xml:space="preserve"> </w:t>
            </w:r>
            <w:r w:rsidRPr="00C658EB">
              <w:rPr>
                <w:sz w:val="24"/>
                <w:szCs w:val="24"/>
                <w:lang w:val="ro-RO"/>
              </w:rPr>
              <w:t>Astfel, în Republica Moldova, datele statistice privind managementului deșeurilor indică că per persoană se colectează circa 600 kg de deșeuri municipale pe țară și câte 1,5 tone în mun. Chișinău (conform date</w:t>
            </w:r>
            <w:r>
              <w:rPr>
                <w:sz w:val="24"/>
                <w:szCs w:val="24"/>
                <w:lang w:val="ro-RO"/>
              </w:rPr>
              <w:t>lor</w:t>
            </w:r>
            <w:r w:rsidRPr="00C658EB">
              <w:rPr>
                <w:sz w:val="24"/>
                <w:szCs w:val="24"/>
                <w:lang w:val="ro-RO"/>
              </w:rPr>
              <w:t xml:space="preserve"> statistice din anul 2018). În anul 2021 în R. Moldova a fost colectat un volum de deșeuri municipale de la populație, agenți economicii și instituții de circa 3.3 mil. metri cubi, fiind aproximativ la același nivel ca în anul 2020.  Municipiul Chișinău deține o pondere de circa 56% din totalul de pe țară. Nemijlocit de la populație a fost colectate 2,2 mil. metri cubi de deșeuri pe țară și circa 1,2 mil. metri cubi din mun. Chișinău, în anul 2021. Analiza trendului pe anii 2016-2021 indică o creștere lentă a volumului de deșeuri municipale colectate.</w:t>
            </w:r>
            <w:r>
              <w:rPr>
                <w:sz w:val="24"/>
                <w:szCs w:val="24"/>
                <w:lang w:val="ro-RO"/>
              </w:rPr>
              <w:t xml:space="preserve"> </w:t>
            </w:r>
          </w:p>
          <w:p w14:paraId="0ABE8A33" w14:textId="77777777" w:rsidR="005C716C" w:rsidRPr="000E43D1" w:rsidRDefault="005C716C" w:rsidP="005C716C">
            <w:pPr>
              <w:spacing w:line="276" w:lineRule="auto"/>
              <w:rPr>
                <w:sz w:val="18"/>
                <w:szCs w:val="18"/>
                <w:lang w:val="ro-RO"/>
              </w:rPr>
            </w:pPr>
            <w:r w:rsidRPr="000E43D1">
              <w:rPr>
                <w:noProof/>
                <w:sz w:val="18"/>
                <w:szCs w:val="18"/>
              </w:rPr>
              <w:drawing>
                <wp:inline distT="0" distB="0" distL="0" distR="0" wp14:anchorId="28A8AE1F" wp14:editId="6A2C9734">
                  <wp:extent cx="2921329" cy="2743200"/>
                  <wp:effectExtent l="0" t="0" r="12700"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E43D1">
              <w:rPr>
                <w:noProof/>
                <w:sz w:val="18"/>
                <w:szCs w:val="18"/>
              </w:rPr>
              <w:drawing>
                <wp:inline distT="0" distB="0" distL="0" distR="0" wp14:anchorId="4BB18BB8" wp14:editId="7549E5E9">
                  <wp:extent cx="2568633" cy="2651760"/>
                  <wp:effectExtent l="0" t="0" r="3175" b="1524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C88937" w14:textId="77777777" w:rsidR="005C716C" w:rsidRPr="005C716C" w:rsidRDefault="005C716C" w:rsidP="005C716C">
            <w:pPr>
              <w:pStyle w:val="1"/>
              <w:rPr>
                <w:b w:val="0"/>
                <w:sz w:val="20"/>
                <w:szCs w:val="20"/>
              </w:rPr>
            </w:pPr>
            <w:r w:rsidRPr="005C716C">
              <w:rPr>
                <w:b w:val="0"/>
                <w:sz w:val="20"/>
                <w:szCs w:val="20"/>
              </w:rPr>
              <w:t>Fig. 1. Colectarea deșeurilor municipale, mii metri cubi</w:t>
            </w:r>
          </w:p>
          <w:p w14:paraId="0A44CFC9" w14:textId="77777777" w:rsidR="005C716C" w:rsidRPr="005C716C" w:rsidRDefault="005C716C" w:rsidP="005C716C">
            <w:pPr>
              <w:spacing w:line="276" w:lineRule="auto"/>
              <w:rPr>
                <w:lang w:val="ro-RO"/>
              </w:rPr>
            </w:pPr>
            <w:r w:rsidRPr="005C716C">
              <w:rPr>
                <w:lang w:val="ro-RO"/>
              </w:rPr>
              <w:t xml:space="preserve">Sursa:BNS, </w:t>
            </w:r>
            <w:hyperlink r:id="rId11" w:history="1">
              <w:r w:rsidRPr="005C716C">
                <w:rPr>
                  <w:rStyle w:val="a4"/>
                  <w:lang w:val="ro-RO"/>
                </w:rPr>
                <w:t>www.statistica.md</w:t>
              </w:r>
            </w:hyperlink>
          </w:p>
          <w:p w14:paraId="0CE40C78" w14:textId="77777777" w:rsidR="005C716C" w:rsidRDefault="005C716C" w:rsidP="005C716C">
            <w:pPr>
              <w:ind w:firstLine="0"/>
              <w:rPr>
                <w:sz w:val="24"/>
                <w:szCs w:val="24"/>
                <w:lang w:val="ro-RO"/>
              </w:rPr>
            </w:pPr>
          </w:p>
          <w:p w14:paraId="23BEFEC9" w14:textId="77777777" w:rsidR="005C716C" w:rsidRDefault="005C716C" w:rsidP="005C716C">
            <w:pPr>
              <w:ind w:firstLine="0"/>
              <w:rPr>
                <w:sz w:val="24"/>
                <w:szCs w:val="24"/>
                <w:lang w:val="ro-RO"/>
              </w:rPr>
            </w:pPr>
            <w:r w:rsidRPr="00BA709E">
              <w:rPr>
                <w:sz w:val="24"/>
                <w:szCs w:val="24"/>
                <w:lang w:val="ro-RO"/>
              </w:rPr>
              <w:t>Datele privind compoziția deșeurilor municipale  la nivel național denotă dinamică pozitivă a diferitor fracții de deșeuri reciclabile și biodegradabile în fluxul deșeurilor municipale din Republica Moldova</w:t>
            </w:r>
            <w:r w:rsidR="0005353F">
              <w:rPr>
                <w:sz w:val="24"/>
                <w:szCs w:val="24"/>
                <w:lang w:val="ro-RO"/>
              </w:rPr>
              <w:t xml:space="preserve"> pe parcursul a două decenii. Se observă o creștere semnificativă a deșeurilor de plastic după anii 2003.</w:t>
            </w:r>
          </w:p>
          <w:p w14:paraId="7141186B" w14:textId="77777777" w:rsidR="0005353F" w:rsidRPr="00BA709E" w:rsidRDefault="0005353F" w:rsidP="005C716C">
            <w:pPr>
              <w:ind w:firstLine="0"/>
              <w:rPr>
                <w:sz w:val="24"/>
                <w:szCs w:val="24"/>
                <w:lang w:val="ro-RO"/>
              </w:rPr>
            </w:pPr>
            <w:r>
              <w:rPr>
                <w:noProof/>
              </w:rPr>
              <w:lastRenderedPageBreak/>
              <w:drawing>
                <wp:inline distT="0" distB="0" distL="0" distR="0" wp14:anchorId="2F061435" wp14:editId="1741F2C6">
                  <wp:extent cx="6120765" cy="3075214"/>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52B1F0" w14:textId="77777777" w:rsidR="0005353F" w:rsidRPr="005C716C" w:rsidRDefault="0005353F" w:rsidP="0005353F">
            <w:pPr>
              <w:pStyle w:val="1"/>
              <w:rPr>
                <w:b w:val="0"/>
                <w:sz w:val="20"/>
                <w:szCs w:val="20"/>
              </w:rPr>
            </w:pPr>
            <w:r w:rsidRPr="005C716C">
              <w:rPr>
                <w:b w:val="0"/>
                <w:sz w:val="20"/>
                <w:szCs w:val="20"/>
              </w:rPr>
              <w:t xml:space="preserve">Fig. </w:t>
            </w:r>
            <w:r>
              <w:rPr>
                <w:b w:val="0"/>
                <w:sz w:val="20"/>
                <w:szCs w:val="20"/>
              </w:rPr>
              <w:t>2</w:t>
            </w:r>
            <w:r w:rsidRPr="005C716C">
              <w:rPr>
                <w:b w:val="0"/>
                <w:sz w:val="20"/>
                <w:szCs w:val="20"/>
              </w:rPr>
              <w:t xml:space="preserve">. </w:t>
            </w:r>
            <w:r>
              <w:rPr>
                <w:b w:val="0"/>
                <w:sz w:val="20"/>
                <w:szCs w:val="20"/>
              </w:rPr>
              <w:t>Compoziția morfologică a DMS, 1986-2023</w:t>
            </w:r>
          </w:p>
          <w:p w14:paraId="248121C6" w14:textId="77777777" w:rsidR="005C716C" w:rsidRPr="00BA709E" w:rsidRDefault="005C716C" w:rsidP="005C716C">
            <w:pPr>
              <w:ind w:firstLine="0"/>
              <w:rPr>
                <w:sz w:val="24"/>
                <w:szCs w:val="24"/>
                <w:lang w:val="ro-RO"/>
              </w:rPr>
            </w:pPr>
          </w:p>
          <w:p w14:paraId="08F97DC1" w14:textId="77777777" w:rsidR="005C716C" w:rsidRDefault="005C716C" w:rsidP="005C716C">
            <w:pPr>
              <w:ind w:firstLine="0"/>
              <w:rPr>
                <w:sz w:val="24"/>
                <w:szCs w:val="24"/>
                <w:lang w:val="ro-RO"/>
              </w:rPr>
            </w:pPr>
            <w:r w:rsidRPr="00BA709E">
              <w:rPr>
                <w:sz w:val="24"/>
                <w:szCs w:val="24"/>
                <w:lang w:val="ro-RO"/>
              </w:rPr>
              <w:t>Numărul populației ce deține contracte pentru servicii de colectare și evacuare a deșeurilor este mult mai mic decît numărul populației prezente în țară, (aproximativ 40%). Colectarea deșeurilor de ambalaje municipale de la populație se realizează de către operatorii de salubrizare și de către alți colectori autorizați, în special cei ce dețin capacități de reciclare a deșeurilor din sticlă, mase plastice sau hîrtie și carton.</w:t>
            </w:r>
          </w:p>
          <w:p w14:paraId="6659F9E7" w14:textId="77777777" w:rsidR="005C716C" w:rsidRPr="00BA709E" w:rsidRDefault="005C716C" w:rsidP="005C716C">
            <w:pPr>
              <w:ind w:firstLine="0"/>
              <w:rPr>
                <w:sz w:val="24"/>
                <w:szCs w:val="24"/>
                <w:lang w:val="ro-RO"/>
              </w:rPr>
            </w:pPr>
          </w:p>
          <w:p w14:paraId="24D4F3E1" w14:textId="77777777" w:rsidR="005C716C" w:rsidRPr="00C658EB" w:rsidRDefault="005C716C" w:rsidP="005C716C">
            <w:pPr>
              <w:spacing w:line="276" w:lineRule="auto"/>
              <w:rPr>
                <w:sz w:val="24"/>
                <w:szCs w:val="24"/>
                <w:lang w:val="ro-RO"/>
              </w:rPr>
            </w:pPr>
            <w:r w:rsidRPr="00C658EB">
              <w:rPr>
                <w:sz w:val="24"/>
                <w:szCs w:val="24"/>
                <w:lang w:val="ro-RO"/>
              </w:rPr>
              <w:t>Din totalul de deșeurilor municipale colectate doar 5,5% reprezintă deșeuri colectate separat.</w:t>
            </w:r>
          </w:p>
          <w:p w14:paraId="189CB3DD" w14:textId="77777777" w:rsidR="005C716C" w:rsidRPr="00C658EB" w:rsidRDefault="005C716C" w:rsidP="005C716C">
            <w:pPr>
              <w:spacing w:line="276" w:lineRule="auto"/>
              <w:jc w:val="center"/>
              <w:rPr>
                <w:b/>
                <w:sz w:val="24"/>
                <w:szCs w:val="24"/>
                <w:lang w:val="ro-RO"/>
              </w:rPr>
            </w:pPr>
            <w:r w:rsidRPr="00C658EB">
              <w:rPr>
                <w:b/>
                <w:noProof/>
                <w:sz w:val="24"/>
                <w:szCs w:val="24"/>
              </w:rPr>
              <w:drawing>
                <wp:inline distT="0" distB="0" distL="0" distR="0" wp14:anchorId="580B4E46" wp14:editId="44C6C40C">
                  <wp:extent cx="4772582" cy="2579233"/>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6614" cy="2592221"/>
                          </a:xfrm>
                          <a:prstGeom prst="rect">
                            <a:avLst/>
                          </a:prstGeom>
                          <a:noFill/>
                          <a:ln>
                            <a:noFill/>
                          </a:ln>
                        </pic:spPr>
                      </pic:pic>
                    </a:graphicData>
                  </a:graphic>
                </wp:inline>
              </w:drawing>
            </w:r>
          </w:p>
          <w:p w14:paraId="4EACF6CE" w14:textId="77777777" w:rsidR="005C716C" w:rsidRDefault="0005353F" w:rsidP="005C716C">
            <w:pPr>
              <w:spacing w:line="276" w:lineRule="auto"/>
              <w:jc w:val="center"/>
              <w:rPr>
                <w:b/>
                <w:sz w:val="24"/>
                <w:szCs w:val="24"/>
                <w:lang w:val="ro-RO"/>
              </w:rPr>
            </w:pPr>
            <w:r w:rsidRPr="0005353F">
              <w:t xml:space="preserve">Fig. </w:t>
            </w:r>
            <w:r>
              <w:t>3</w:t>
            </w:r>
            <w:r w:rsidRPr="0005353F">
              <w:t>.</w:t>
            </w:r>
            <w:r>
              <w:t xml:space="preserve"> </w:t>
            </w:r>
            <w:r w:rsidR="005C716C" w:rsidRPr="0005353F">
              <w:t>Deșeuri colectate separat, tone</w:t>
            </w:r>
          </w:p>
          <w:p w14:paraId="5C852EA7" w14:textId="77777777" w:rsidR="005C716C" w:rsidRPr="0005353F" w:rsidRDefault="005C716C" w:rsidP="0005353F">
            <w:pPr>
              <w:pStyle w:val="af0"/>
              <w:jc w:val="center"/>
              <w:rPr>
                <w:rFonts w:ascii="Times New Roman" w:hAnsi="Times New Roman" w:cs="Times New Roman"/>
                <w:lang w:val="ro-RO"/>
              </w:rPr>
            </w:pPr>
            <w:r w:rsidRPr="0005353F">
              <w:rPr>
                <w:rFonts w:ascii="Times New Roman" w:hAnsi="Times New Roman" w:cs="Times New Roman"/>
                <w:iCs/>
                <w:lang w:val="ro-RO"/>
              </w:rPr>
              <w:t xml:space="preserve">Sursa: Raportul Agenției Naționale de Mediu, </w:t>
            </w:r>
            <w:r w:rsidRPr="0005353F">
              <w:rPr>
                <w:rFonts w:ascii="Times New Roman" w:hAnsi="Times New Roman" w:cs="Times New Roman"/>
                <w:lang w:val="ro-RO"/>
              </w:rPr>
              <w:t>https://am.gov.md/sites/default/files/document/attachments/Untitled.FR12_compressed_0.pdf</w:t>
            </w:r>
          </w:p>
          <w:p w14:paraId="7C5B9322" w14:textId="77777777" w:rsidR="00AA2878" w:rsidRPr="00BA709E" w:rsidRDefault="00AA2878" w:rsidP="0005353F">
            <w:pPr>
              <w:ind w:firstLine="522"/>
              <w:jc w:val="center"/>
              <w:rPr>
                <w:sz w:val="22"/>
                <w:szCs w:val="24"/>
                <w:lang w:val="ro-RO"/>
              </w:rPr>
            </w:pPr>
          </w:p>
          <w:p w14:paraId="602870B7" w14:textId="77777777" w:rsidR="005C716C" w:rsidRDefault="005C716C" w:rsidP="005C716C">
            <w:pPr>
              <w:pStyle w:val="ac"/>
              <w:ind w:firstLine="381"/>
            </w:pPr>
          </w:p>
          <w:p w14:paraId="0A7915F1" w14:textId="77777777" w:rsidR="005C716C" w:rsidRDefault="005C716C" w:rsidP="005C716C">
            <w:pPr>
              <w:pStyle w:val="ac"/>
              <w:ind w:firstLine="381"/>
            </w:pPr>
            <w:r w:rsidRPr="00FA2B2E">
              <w:t xml:space="preserve">Din analiza situației internaționale privind produsele din plastic, am constatat că plasticul este un material de bază al economiei moderne, cu nenumărate utilizări industriale și de consum. </w:t>
            </w:r>
            <w:r>
              <w:t>R</w:t>
            </w:r>
            <w:r w:rsidRPr="00FA2B2E">
              <w:t>epublica Moldova nu este excepție de la regulă. În țara noastră, în anul 2021, conform BNS s-au produs 2475,1 tone de produse din plastic, inclusiv 179,5 tone au constituit produse destinate ambalajelor.</w:t>
            </w:r>
          </w:p>
          <w:p w14:paraId="624B82E2" w14:textId="77777777" w:rsidR="005C716C" w:rsidRDefault="005C716C" w:rsidP="005C716C">
            <w:pPr>
              <w:pStyle w:val="ac"/>
              <w:ind w:firstLine="381"/>
            </w:pPr>
            <w:r w:rsidRPr="00FA2B2E">
              <w:lastRenderedPageBreak/>
              <w:t>În privința importului de produse din plastic sub forme primare și prelucrate, pentru anul 2021, per total, se atestă o creștere de 35,4% în raport cu anul 2020, acesta a constituit valoarea de 230,95 mil dolari SUA. A crescut importul atît la materialele plastice prelucrate cît și la cele sub forme primare (respectiv, cu 28% și 55%). Valoarea importului de materiale plastice prelucrate a constituit 157,81 mil. dolari SUA, iar valoarea importului de materiale plastice sub forme primare a fost de 73,14 mil. dolari SUA. Materialele de plastic prelucrate dețin ponderea de 68% în totalul de import de material plastic în anul 2021.</w:t>
            </w:r>
          </w:p>
          <w:p w14:paraId="05E90B1F" w14:textId="77777777" w:rsidR="005C716C" w:rsidRDefault="005C716C" w:rsidP="005C716C">
            <w:pPr>
              <w:ind w:firstLine="522"/>
              <w:rPr>
                <w:sz w:val="24"/>
                <w:szCs w:val="24"/>
                <w:lang w:val="ro-RO"/>
              </w:rPr>
            </w:pPr>
          </w:p>
          <w:p w14:paraId="585C50C5" w14:textId="77777777" w:rsidR="00AA2878" w:rsidRPr="00BD14DE" w:rsidRDefault="00AA2878" w:rsidP="005C716C">
            <w:pPr>
              <w:pStyle w:val="3"/>
            </w:pPr>
            <w:r w:rsidRPr="00BD14DE">
              <w:t>În graficul de mai jos sunt prezentate rezultatele evaluării cantitative a plasării pe piață a ambalajelor goale și a ambalajelor produselor (doar greutatea ambalajului). Estimarea ambalajelor goale s-a bazat pe datele privind importul următoarelor:</w:t>
            </w:r>
          </w:p>
          <w:p w14:paraId="68936B5B" w14:textId="77777777" w:rsidR="00AA2878" w:rsidRPr="00BD14DE" w:rsidRDefault="00AA2878" w:rsidP="00AA2878">
            <w:pPr>
              <w:pStyle w:val="a9"/>
              <w:numPr>
                <w:ilvl w:val="0"/>
                <w:numId w:val="11"/>
              </w:numPr>
              <w:rPr>
                <w:sz w:val="24"/>
                <w:szCs w:val="24"/>
                <w:lang w:val="ro-RO"/>
              </w:rPr>
            </w:pPr>
            <w:r w:rsidRPr="00BD14DE">
              <w:rPr>
                <w:sz w:val="24"/>
                <w:szCs w:val="24"/>
                <w:lang w:val="ro-RO"/>
              </w:rPr>
              <w:t xml:space="preserve">Articole de transport sau de ambalare din materiale plastice; bușoane, dopuri, capace, capsule și alte dispozitive de închidere, din materiale plastice sub codul 3923 </w:t>
            </w:r>
          </w:p>
          <w:p w14:paraId="7A8A816F" w14:textId="77777777" w:rsidR="00AA2878" w:rsidRPr="00BD14DE" w:rsidRDefault="00AA2878" w:rsidP="00AA2878">
            <w:pPr>
              <w:pStyle w:val="a9"/>
              <w:numPr>
                <w:ilvl w:val="0"/>
                <w:numId w:val="11"/>
              </w:numPr>
              <w:rPr>
                <w:sz w:val="24"/>
                <w:szCs w:val="24"/>
                <w:lang w:val="ro-RO"/>
              </w:rPr>
            </w:pPr>
            <w:r w:rsidRPr="00BD14DE">
              <w:rPr>
                <w:sz w:val="24"/>
                <w:szCs w:val="24"/>
                <w:lang w:val="ro-RO"/>
              </w:rPr>
              <w:t>Polimeri de etilenă sub 3901</w:t>
            </w:r>
          </w:p>
          <w:p w14:paraId="2E947770" w14:textId="77777777" w:rsidR="00AA2878" w:rsidRPr="00BD14DE" w:rsidRDefault="00AA2878" w:rsidP="00AA2878">
            <w:pPr>
              <w:pStyle w:val="a9"/>
              <w:numPr>
                <w:ilvl w:val="0"/>
                <w:numId w:val="11"/>
              </w:numPr>
              <w:rPr>
                <w:sz w:val="24"/>
                <w:szCs w:val="24"/>
                <w:lang w:val="ro-RO"/>
              </w:rPr>
            </w:pPr>
            <w:r w:rsidRPr="00BD14DE">
              <w:rPr>
                <w:sz w:val="24"/>
                <w:szCs w:val="24"/>
                <w:lang w:val="ro-RO"/>
              </w:rPr>
              <w:t>Polimeri de propilenă sau de alte olefine sub codul 3902</w:t>
            </w:r>
          </w:p>
          <w:p w14:paraId="10B6BDC3" w14:textId="77777777" w:rsidR="00AA2878" w:rsidRPr="00BD14DE" w:rsidRDefault="00AA2878" w:rsidP="00AA2878">
            <w:pPr>
              <w:pStyle w:val="a9"/>
              <w:numPr>
                <w:ilvl w:val="0"/>
                <w:numId w:val="11"/>
              </w:numPr>
              <w:rPr>
                <w:sz w:val="24"/>
                <w:szCs w:val="24"/>
                <w:lang w:val="ro-RO"/>
              </w:rPr>
            </w:pPr>
            <w:r w:rsidRPr="00BD14DE">
              <w:rPr>
                <w:sz w:val="24"/>
                <w:szCs w:val="24"/>
                <w:lang w:val="ro-RO"/>
              </w:rPr>
              <w:t>Veselă, alte articole de menaj sau obiecte de uz casnic și articole de igienă sau de toaletă, din materiale plastic sub codul 3924.</w:t>
            </w:r>
          </w:p>
          <w:p w14:paraId="4D9A8C8C" w14:textId="77777777" w:rsidR="00AA2878" w:rsidRPr="00BD14DE" w:rsidRDefault="00AA2878" w:rsidP="00AA2878">
            <w:pPr>
              <w:ind w:firstLine="0"/>
              <w:rPr>
                <w:sz w:val="24"/>
                <w:szCs w:val="24"/>
                <w:lang w:val="ro-RO"/>
              </w:rPr>
            </w:pPr>
            <w:r w:rsidRPr="00BD14DE">
              <w:rPr>
                <w:sz w:val="24"/>
                <w:szCs w:val="24"/>
                <w:lang w:val="ro-RO"/>
              </w:rPr>
              <w:t>Estimarea ambalajelor de plastic care conțin produse s-a bazat pe importul produselor corespunzătoare, fiind clasificate conform următoarelor coduri din Nomenclatura combinată:</w:t>
            </w:r>
          </w:p>
          <w:p w14:paraId="3D0EC53B" w14:textId="77777777" w:rsidR="00AA2878" w:rsidRPr="00BD14DE"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392310</w:t>
            </w:r>
            <w:r w:rsidRPr="00BD14DE">
              <w:rPr>
                <w:sz w:val="24"/>
                <w:szCs w:val="24"/>
                <w:lang w:val="ro-RO"/>
              </w:rPr>
              <w:tab/>
              <w:t>Cutii, lăzi, coșuri și articole similare</w:t>
            </w:r>
          </w:p>
          <w:p w14:paraId="7AB13143" w14:textId="77777777" w:rsidR="00AA2878" w:rsidRPr="00BD14DE"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392321</w:t>
            </w:r>
            <w:r w:rsidRPr="00BD14DE">
              <w:rPr>
                <w:sz w:val="24"/>
                <w:szCs w:val="24"/>
                <w:lang w:val="ro-RO"/>
              </w:rPr>
              <w:tab/>
              <w:t>Saci, sacoșe, pungi și cornete din polimeri de etilenă</w:t>
            </w:r>
          </w:p>
          <w:p w14:paraId="7ABBC675" w14:textId="77777777" w:rsidR="00AA2878" w:rsidRPr="00BD14DE"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392329</w:t>
            </w:r>
            <w:r w:rsidRPr="00BD14DE">
              <w:rPr>
                <w:sz w:val="24"/>
                <w:szCs w:val="24"/>
                <w:lang w:val="ro-RO"/>
              </w:rPr>
              <w:tab/>
              <w:t>Saci, sacoșe, pungi și cornete din alte materiale plastice:</w:t>
            </w:r>
          </w:p>
          <w:p w14:paraId="10B95EBB" w14:textId="77777777" w:rsidR="00AA2878" w:rsidRPr="00BD14DE"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392330</w:t>
            </w:r>
            <w:r w:rsidRPr="00BD14DE">
              <w:rPr>
                <w:sz w:val="24"/>
                <w:szCs w:val="24"/>
                <w:lang w:val="ro-RO"/>
              </w:rPr>
              <w:tab/>
              <w:t>Bidoane, sticle, flacoane și articole similar</w:t>
            </w:r>
          </w:p>
          <w:p w14:paraId="3273F8E3" w14:textId="77777777" w:rsidR="00AA2878" w:rsidRPr="00BD14DE"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392340</w:t>
            </w:r>
            <w:r w:rsidRPr="00BD14DE">
              <w:rPr>
                <w:sz w:val="24"/>
                <w:szCs w:val="24"/>
                <w:lang w:val="ro-RO"/>
              </w:rPr>
              <w:tab/>
              <w:t>Mosoare, bobine, canete și suporturi similare</w:t>
            </w:r>
          </w:p>
          <w:p w14:paraId="261FE4D9" w14:textId="77777777" w:rsidR="00AA2878" w:rsidRPr="00BD14DE"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392350</w:t>
            </w:r>
            <w:r w:rsidRPr="00BD14DE">
              <w:rPr>
                <w:sz w:val="24"/>
                <w:szCs w:val="24"/>
                <w:lang w:val="ro-RO"/>
              </w:rPr>
              <w:tab/>
              <w:t>Bușoane, dopuri, capace, capsule și alte dispozitive de închidere</w:t>
            </w:r>
          </w:p>
          <w:p w14:paraId="309B1E24" w14:textId="77777777" w:rsidR="00AA2878" w:rsidRDefault="00AA2878" w:rsidP="00AA2878">
            <w:pPr>
              <w:ind w:left="720" w:firstLine="0"/>
              <w:rPr>
                <w:sz w:val="24"/>
                <w:szCs w:val="24"/>
                <w:lang w:val="ro-RO"/>
              </w:rPr>
            </w:pPr>
            <w:r w:rsidRPr="00BD14DE">
              <w:rPr>
                <w:sz w:val="24"/>
                <w:szCs w:val="24"/>
                <w:lang w:val="ro-RO"/>
              </w:rPr>
              <w:t>•</w:t>
            </w:r>
            <w:r w:rsidRPr="00BD14DE">
              <w:rPr>
                <w:sz w:val="24"/>
                <w:szCs w:val="24"/>
                <w:lang w:val="ro-RO"/>
              </w:rPr>
              <w:tab/>
              <w:t>392390</w:t>
            </w:r>
            <w:r w:rsidRPr="00BD14DE">
              <w:rPr>
                <w:sz w:val="24"/>
                <w:szCs w:val="24"/>
                <w:lang w:val="ro-RO"/>
              </w:rPr>
              <w:tab/>
              <w:t>Altele</w:t>
            </w:r>
          </w:p>
          <w:p w14:paraId="49E02597" w14:textId="77777777" w:rsidR="00AA2878" w:rsidRDefault="00AA2878" w:rsidP="00AA2878">
            <w:pPr>
              <w:ind w:firstLine="0"/>
              <w:rPr>
                <w:sz w:val="24"/>
                <w:szCs w:val="24"/>
                <w:lang w:val="ro-RO"/>
              </w:rPr>
            </w:pPr>
          </w:p>
          <w:p w14:paraId="370EFBE1" w14:textId="77777777" w:rsidR="00AA2878" w:rsidRDefault="00AA2878" w:rsidP="00AA2878">
            <w:pPr>
              <w:spacing w:line="276" w:lineRule="auto"/>
              <w:rPr>
                <w:sz w:val="24"/>
                <w:szCs w:val="24"/>
                <w:lang w:val="ro-RO"/>
              </w:rPr>
            </w:pPr>
            <w:r>
              <w:rPr>
                <w:noProof/>
                <w:sz w:val="24"/>
                <w:szCs w:val="24"/>
              </w:rPr>
              <w:drawing>
                <wp:inline distT="0" distB="0" distL="0" distR="0" wp14:anchorId="185BDA6D" wp14:editId="3F14A4A9">
                  <wp:extent cx="5378450" cy="2524579"/>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3285" cy="2526848"/>
                          </a:xfrm>
                          <a:prstGeom prst="rect">
                            <a:avLst/>
                          </a:prstGeom>
                          <a:noFill/>
                        </pic:spPr>
                      </pic:pic>
                    </a:graphicData>
                  </a:graphic>
                </wp:inline>
              </w:drawing>
            </w:r>
          </w:p>
          <w:p w14:paraId="54E1C167" w14:textId="77777777" w:rsidR="00AA2878" w:rsidRPr="0005353F" w:rsidRDefault="00AA2878" w:rsidP="00AA2878">
            <w:pPr>
              <w:rPr>
                <w:sz w:val="22"/>
                <w:lang w:val="ro-RO"/>
              </w:rPr>
            </w:pPr>
            <w:r w:rsidRPr="0005353F">
              <w:rPr>
                <w:sz w:val="22"/>
                <w:lang w:val="ro-RO"/>
              </w:rPr>
              <w:t xml:space="preserve">Fig </w:t>
            </w:r>
            <w:r w:rsidR="0005353F" w:rsidRPr="0005353F">
              <w:rPr>
                <w:sz w:val="22"/>
                <w:lang w:val="ro-RO"/>
              </w:rPr>
              <w:t>4</w:t>
            </w:r>
            <w:r w:rsidRPr="0005353F">
              <w:rPr>
                <w:sz w:val="22"/>
                <w:lang w:val="ro-RO"/>
              </w:rPr>
              <w:t>. Importul de ambalaje din plastic, 2021</w:t>
            </w:r>
          </w:p>
          <w:p w14:paraId="73C55E03" w14:textId="77777777" w:rsidR="00AA2878" w:rsidRPr="0005353F" w:rsidRDefault="0005353F" w:rsidP="00AA2878">
            <w:pPr>
              <w:spacing w:line="276" w:lineRule="auto"/>
              <w:rPr>
                <w:szCs w:val="24"/>
                <w:lang w:val="ro-RO"/>
              </w:rPr>
            </w:pPr>
            <w:r w:rsidRPr="0005353F">
              <w:rPr>
                <w:szCs w:val="24"/>
                <w:lang w:val="ro-RO"/>
              </w:rPr>
              <w:t xml:space="preserve">Sursa: </w:t>
            </w:r>
            <w:hyperlink r:id="rId15" w:history="1">
              <w:r w:rsidRPr="0092139F">
                <w:rPr>
                  <w:rStyle w:val="a4"/>
                  <w:szCs w:val="24"/>
                  <w:lang w:val="ro-RO"/>
                </w:rPr>
                <w:t>https://comtradeplus.un.org/</w:t>
              </w:r>
            </w:hyperlink>
            <w:r>
              <w:rPr>
                <w:szCs w:val="24"/>
                <w:lang w:val="ro-RO"/>
              </w:rPr>
              <w:t xml:space="preserve"> </w:t>
            </w:r>
          </w:p>
          <w:p w14:paraId="75B491DF" w14:textId="77777777" w:rsidR="0005353F" w:rsidRDefault="0005353F" w:rsidP="00AA2878">
            <w:pPr>
              <w:spacing w:line="276" w:lineRule="auto"/>
              <w:rPr>
                <w:sz w:val="24"/>
                <w:szCs w:val="24"/>
                <w:lang w:val="ro-RO"/>
              </w:rPr>
            </w:pPr>
          </w:p>
          <w:p w14:paraId="2B4D10B9" w14:textId="77777777" w:rsidR="00AA2878" w:rsidRDefault="00AA2878" w:rsidP="00AA2878">
            <w:pPr>
              <w:spacing w:line="276" w:lineRule="auto"/>
              <w:rPr>
                <w:sz w:val="24"/>
                <w:szCs w:val="24"/>
                <w:lang w:val="ro-RO"/>
              </w:rPr>
            </w:pPr>
            <w:r>
              <w:rPr>
                <w:sz w:val="24"/>
                <w:szCs w:val="24"/>
                <w:lang w:val="ro-RO"/>
              </w:rPr>
              <w:t xml:space="preserve">Rezultatele estimărilor denotă o cantitate de 51300 tone de ambalaje de plastic plasate în anul 2021, ceea ce corespunde cu circa 20,53 kg/capita. Deoarece durata de viață a unui ambalaj de plastic este relativ scurtă, multe din ele fiind ambalaje de unică folosință, această cantitate poate fi considerată ca fiind și deșeuri de ambalaje de plastic. </w:t>
            </w:r>
          </w:p>
          <w:p w14:paraId="468754A9" w14:textId="77777777" w:rsidR="00AA2878" w:rsidRDefault="00AA2878" w:rsidP="00AA2878">
            <w:pPr>
              <w:spacing w:line="276" w:lineRule="auto"/>
              <w:rPr>
                <w:sz w:val="24"/>
                <w:szCs w:val="24"/>
                <w:lang w:val="ro-RO"/>
              </w:rPr>
            </w:pPr>
            <w:r>
              <w:rPr>
                <w:sz w:val="24"/>
                <w:szCs w:val="24"/>
                <w:lang w:val="ro-RO"/>
              </w:rPr>
              <w:t xml:space="preserve">Estimarea fabricării produselor de plastic în RM s-a bazat pe importul de materii prime din pastic sub codurile din NC a mărfurilor 3901-3914, în baza datelor oferite de baza de date </w:t>
            </w:r>
            <w:hyperlink r:id="rId16" w:history="1">
              <w:r w:rsidRPr="00422318">
                <w:rPr>
                  <w:rStyle w:val="a4"/>
                  <w:sz w:val="24"/>
                  <w:szCs w:val="24"/>
                  <w:lang w:val="ro-RO"/>
                </w:rPr>
                <w:t>https://comtrade.un.org/data</w:t>
              </w:r>
            </w:hyperlink>
            <w:r>
              <w:rPr>
                <w:sz w:val="24"/>
                <w:szCs w:val="24"/>
                <w:lang w:val="ro-RO"/>
              </w:rPr>
              <w:t>, fiind prezentate în diagrama de mai jos. Cea mai mare pondere este deinută de polimerii de atilenă în proporție de 25 %, urmatp de polimerii de stiren cu 22 %, urmate de p</w:t>
            </w:r>
            <w:r w:rsidRPr="008529CB">
              <w:rPr>
                <w:sz w:val="24"/>
                <w:szCs w:val="24"/>
                <w:lang w:val="ro-RO"/>
              </w:rPr>
              <w:t>oliacetali, alți polieteri și rășini epoxidice,</w:t>
            </w:r>
            <w:r>
              <w:rPr>
                <w:sz w:val="24"/>
                <w:szCs w:val="24"/>
                <w:lang w:val="ro-RO"/>
              </w:rPr>
              <w:t xml:space="preserve">cu 15 % și polimerii de polipropinenă cu 14 %. </w:t>
            </w:r>
          </w:p>
          <w:p w14:paraId="50C7ADDC" w14:textId="77777777" w:rsidR="00AA2878" w:rsidRDefault="00AA2878" w:rsidP="00AA2878">
            <w:pPr>
              <w:spacing w:line="276" w:lineRule="auto"/>
              <w:rPr>
                <w:sz w:val="24"/>
                <w:szCs w:val="24"/>
                <w:lang w:val="ro-RO"/>
              </w:rPr>
            </w:pPr>
          </w:p>
          <w:p w14:paraId="1765C24B" w14:textId="77777777" w:rsidR="00AA2878" w:rsidRPr="004D4300" w:rsidRDefault="00AA2878" w:rsidP="00AA2878">
            <w:pPr>
              <w:spacing w:line="276" w:lineRule="auto"/>
              <w:ind w:firstLine="239"/>
              <w:rPr>
                <w:sz w:val="24"/>
                <w:szCs w:val="24"/>
                <w:lang w:val="ro-RO"/>
              </w:rPr>
            </w:pPr>
            <w:r>
              <w:rPr>
                <w:noProof/>
                <w:sz w:val="24"/>
                <w:szCs w:val="24"/>
              </w:rPr>
              <w:drawing>
                <wp:inline distT="0" distB="0" distL="0" distR="0" wp14:anchorId="5BEAC396" wp14:editId="585E4734">
                  <wp:extent cx="5684520" cy="3047677"/>
                  <wp:effectExtent l="0" t="0" r="0" b="63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95459" cy="3053542"/>
                          </a:xfrm>
                          <a:prstGeom prst="rect">
                            <a:avLst/>
                          </a:prstGeom>
                          <a:noFill/>
                        </pic:spPr>
                      </pic:pic>
                    </a:graphicData>
                  </a:graphic>
                </wp:inline>
              </w:drawing>
            </w:r>
            <w:r>
              <w:rPr>
                <w:sz w:val="24"/>
                <w:szCs w:val="24"/>
                <w:lang w:val="ro-RO"/>
              </w:rPr>
              <w:t xml:space="preserve"> </w:t>
            </w:r>
          </w:p>
          <w:p w14:paraId="35DB63E8" w14:textId="77777777" w:rsidR="00AA2878" w:rsidRPr="0005353F" w:rsidRDefault="00AA2878" w:rsidP="00AA2878">
            <w:pPr>
              <w:rPr>
                <w:sz w:val="22"/>
                <w:lang w:val="ro-RO"/>
              </w:rPr>
            </w:pPr>
            <w:r w:rsidRPr="0005353F">
              <w:rPr>
                <w:sz w:val="22"/>
                <w:lang w:val="ro-RO"/>
              </w:rPr>
              <w:t>Fig</w:t>
            </w:r>
            <w:r w:rsidR="0005353F">
              <w:rPr>
                <w:sz w:val="22"/>
                <w:lang w:val="ro-RO"/>
              </w:rPr>
              <w:t>.</w:t>
            </w:r>
            <w:r w:rsidR="0005353F" w:rsidRPr="0005353F">
              <w:rPr>
                <w:sz w:val="22"/>
                <w:lang w:val="ro-RO"/>
              </w:rPr>
              <w:t xml:space="preserve"> 5 </w:t>
            </w:r>
            <w:r w:rsidRPr="0005353F">
              <w:rPr>
                <w:sz w:val="22"/>
                <w:lang w:val="ro-RO"/>
              </w:rPr>
              <w:t>. Importul de materii prime din plastic, 2021</w:t>
            </w:r>
          </w:p>
          <w:p w14:paraId="3C9478A6" w14:textId="77777777" w:rsidR="00AA2878" w:rsidRPr="0005353F" w:rsidRDefault="0005353F" w:rsidP="0005353F">
            <w:pPr>
              <w:rPr>
                <w:sz w:val="24"/>
                <w:lang w:val="ro-RO"/>
              </w:rPr>
            </w:pPr>
            <w:r w:rsidRPr="0005353F">
              <w:rPr>
                <w:szCs w:val="24"/>
                <w:lang w:val="ro-RO"/>
              </w:rPr>
              <w:t xml:space="preserve">Sursa: </w:t>
            </w:r>
            <w:hyperlink r:id="rId18" w:history="1">
              <w:r w:rsidRPr="0092139F">
                <w:rPr>
                  <w:rStyle w:val="a4"/>
                  <w:szCs w:val="24"/>
                  <w:lang w:val="ro-RO"/>
                </w:rPr>
                <w:t>https://comtradeplus.un.org/</w:t>
              </w:r>
            </w:hyperlink>
          </w:p>
          <w:p w14:paraId="26E54914" w14:textId="77777777" w:rsidR="0005353F" w:rsidRDefault="0005353F" w:rsidP="00AA2878">
            <w:pPr>
              <w:rPr>
                <w:sz w:val="24"/>
                <w:lang w:val="ro-RO"/>
              </w:rPr>
            </w:pPr>
          </w:p>
          <w:p w14:paraId="453156C3" w14:textId="77777777" w:rsidR="0005353F" w:rsidRDefault="0005353F" w:rsidP="00AA2878">
            <w:pPr>
              <w:rPr>
                <w:sz w:val="24"/>
                <w:lang w:val="ro-RO"/>
              </w:rPr>
            </w:pPr>
          </w:p>
          <w:p w14:paraId="10DA5028" w14:textId="77777777" w:rsidR="00AA2878" w:rsidRDefault="00AA2878" w:rsidP="00AA2878">
            <w:pPr>
              <w:rPr>
                <w:sz w:val="24"/>
                <w:szCs w:val="24"/>
                <w:lang w:val="ro-RO"/>
              </w:rPr>
            </w:pPr>
            <w:r>
              <w:rPr>
                <w:sz w:val="24"/>
                <w:lang w:val="ro-RO"/>
              </w:rPr>
              <w:t xml:space="preserve">Estimarea </w:t>
            </w:r>
            <w:r w:rsidRPr="00A60399">
              <w:rPr>
                <w:rFonts w:eastAsiaTheme="minorHAnsi"/>
                <w:sz w:val="24"/>
                <w:szCs w:val="22"/>
                <w:lang w:val="ro-RO"/>
              </w:rPr>
              <w:t>plasării pe piață a produselor de plastic</w:t>
            </w:r>
            <w:r w:rsidRPr="00E34489">
              <w:rPr>
                <w:rFonts w:eastAsiaTheme="minorHAnsi"/>
                <w:b/>
                <w:i/>
                <w:sz w:val="24"/>
                <w:szCs w:val="22"/>
                <w:lang w:val="ro-RO"/>
              </w:rPr>
              <w:t xml:space="preserve"> </w:t>
            </w:r>
            <w:r>
              <w:rPr>
                <w:sz w:val="24"/>
                <w:lang w:val="ro-RO"/>
              </w:rPr>
              <w:t xml:space="preserve">s-a bazat pe importul de produse din plastic </w:t>
            </w:r>
            <w:r>
              <w:rPr>
                <w:sz w:val="24"/>
                <w:szCs w:val="24"/>
                <w:lang w:val="ro-RO"/>
              </w:rPr>
              <w:t xml:space="preserve">sub codurile din NC a mărfurilor 3916-3926, în baza datelor oferite de baza de date </w:t>
            </w:r>
            <w:hyperlink r:id="rId19" w:history="1">
              <w:r w:rsidRPr="00422318">
                <w:rPr>
                  <w:rStyle w:val="a4"/>
                  <w:sz w:val="24"/>
                  <w:szCs w:val="24"/>
                  <w:lang w:val="ro-RO"/>
                </w:rPr>
                <w:t>https://comtrade.un.org/data</w:t>
              </w:r>
            </w:hyperlink>
            <w:r>
              <w:rPr>
                <w:sz w:val="24"/>
                <w:szCs w:val="24"/>
                <w:lang w:val="ro-RO"/>
              </w:rPr>
              <w:t>, fiind prezentate în diagrama de mai jos.</w:t>
            </w:r>
          </w:p>
          <w:p w14:paraId="2241D5CA" w14:textId="77777777" w:rsidR="00AA2878" w:rsidRDefault="00AA2878" w:rsidP="00AA2878">
            <w:pPr>
              <w:ind w:firstLine="239"/>
              <w:rPr>
                <w:sz w:val="24"/>
                <w:lang w:val="ro-RO"/>
              </w:rPr>
            </w:pPr>
            <w:r>
              <w:rPr>
                <w:noProof/>
                <w:sz w:val="24"/>
              </w:rPr>
              <w:drawing>
                <wp:inline distT="0" distB="0" distL="0" distR="0" wp14:anchorId="33DE7D71" wp14:editId="797F32F0">
                  <wp:extent cx="5848350" cy="3313659"/>
                  <wp:effectExtent l="0" t="0" r="0" b="127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0242" cy="3314731"/>
                          </a:xfrm>
                          <a:prstGeom prst="rect">
                            <a:avLst/>
                          </a:prstGeom>
                          <a:noFill/>
                        </pic:spPr>
                      </pic:pic>
                    </a:graphicData>
                  </a:graphic>
                </wp:inline>
              </w:drawing>
            </w:r>
          </w:p>
          <w:p w14:paraId="52B37641" w14:textId="77777777" w:rsidR="00AA2878" w:rsidRPr="0005353F" w:rsidRDefault="00AA2878" w:rsidP="00AA2878">
            <w:pPr>
              <w:rPr>
                <w:sz w:val="22"/>
                <w:lang w:val="ro-RO"/>
              </w:rPr>
            </w:pPr>
            <w:r w:rsidRPr="0005353F">
              <w:rPr>
                <w:sz w:val="22"/>
                <w:lang w:val="ro-RO"/>
              </w:rPr>
              <w:t>Fig.</w:t>
            </w:r>
            <w:r w:rsidR="0005353F">
              <w:rPr>
                <w:sz w:val="22"/>
                <w:lang w:val="ro-RO"/>
              </w:rPr>
              <w:t xml:space="preserve"> 6.</w:t>
            </w:r>
            <w:r w:rsidRPr="0005353F">
              <w:rPr>
                <w:sz w:val="22"/>
                <w:lang w:val="ro-RO"/>
              </w:rPr>
              <w:t xml:space="preserve"> Importul de produse din plastic, 2021</w:t>
            </w:r>
          </w:p>
          <w:p w14:paraId="49CC8D94" w14:textId="77777777" w:rsidR="0005353F" w:rsidRPr="0005353F" w:rsidRDefault="0005353F" w:rsidP="0005353F">
            <w:pPr>
              <w:rPr>
                <w:sz w:val="24"/>
                <w:lang w:val="ro-RO"/>
              </w:rPr>
            </w:pPr>
            <w:r w:rsidRPr="0005353F">
              <w:rPr>
                <w:szCs w:val="24"/>
                <w:lang w:val="ro-RO"/>
              </w:rPr>
              <w:t xml:space="preserve">Sursa: </w:t>
            </w:r>
            <w:hyperlink r:id="rId21" w:history="1">
              <w:r w:rsidRPr="0092139F">
                <w:rPr>
                  <w:rStyle w:val="a4"/>
                  <w:szCs w:val="24"/>
                  <w:lang w:val="ro-RO"/>
                </w:rPr>
                <w:t>https://comtradeplus.un.org/</w:t>
              </w:r>
            </w:hyperlink>
          </w:p>
          <w:p w14:paraId="47604B2B" w14:textId="77777777" w:rsidR="0005353F" w:rsidRDefault="0005353F" w:rsidP="0005353F">
            <w:pPr>
              <w:rPr>
                <w:sz w:val="24"/>
                <w:lang w:val="ro-RO"/>
              </w:rPr>
            </w:pPr>
          </w:p>
          <w:p w14:paraId="543099BF" w14:textId="77777777" w:rsidR="00AA2878" w:rsidRDefault="00AA2878" w:rsidP="00AA2878">
            <w:pPr>
              <w:rPr>
                <w:sz w:val="24"/>
                <w:lang w:val="ro-RO"/>
              </w:rPr>
            </w:pPr>
          </w:p>
          <w:p w14:paraId="67870828" w14:textId="77777777" w:rsidR="00AA2878" w:rsidRDefault="00AA2878" w:rsidP="00AA2878">
            <w:pPr>
              <w:rPr>
                <w:sz w:val="24"/>
                <w:lang w:val="ro-RO"/>
              </w:rPr>
            </w:pPr>
            <w:r>
              <w:rPr>
                <w:sz w:val="24"/>
                <w:lang w:val="ro-RO"/>
              </w:rPr>
              <w:lastRenderedPageBreak/>
              <w:t xml:space="preserve">O analiză sumară a cantității de produse din plastic plasate pe piața RM în anul 2021, inclusiv a ambalajelor produselor ambalate, denotă o cantitate de circa 129994.2 tone de plastic, ceea ce ar corespunde cu o medie de 50 de kg de plastic per capita.  </w:t>
            </w:r>
          </w:p>
          <w:p w14:paraId="4250C338" w14:textId="77777777" w:rsidR="00AA2878" w:rsidRPr="00BA709E" w:rsidRDefault="00AA2878" w:rsidP="00DD257B">
            <w:pPr>
              <w:rPr>
                <w:sz w:val="24"/>
                <w:szCs w:val="24"/>
                <w:lang w:val="ro-RO"/>
              </w:rPr>
            </w:pPr>
            <w:r>
              <w:rPr>
                <w:sz w:val="24"/>
                <w:lang w:val="ro-RO"/>
              </w:rPr>
              <w:t>Deșeurile de plastic dețin o pondere de 11,3 %. Rata de generare a DMS pe cap de locuitor constituie circa 400 kg/an. Prin urmare rata de generare a deșeurilor de plastic ar constitui 45 kg/capi</w:t>
            </w:r>
            <w:r w:rsidR="00DD257B">
              <w:rPr>
                <w:sz w:val="24"/>
                <w:lang w:val="ro-RO"/>
              </w:rPr>
              <w:t>t</w:t>
            </w:r>
            <w:r>
              <w:rPr>
                <w:sz w:val="24"/>
                <w:lang w:val="ro-RO"/>
              </w:rPr>
              <w:t xml:space="preserve">a sau circa </w:t>
            </w:r>
            <w:r w:rsidR="00DD257B" w:rsidRPr="00DD257B">
              <w:rPr>
                <w:sz w:val="24"/>
                <w:lang w:val="ro-RO"/>
              </w:rPr>
              <w:t>120822,91</w:t>
            </w:r>
            <w:r w:rsidR="00DD257B">
              <w:rPr>
                <w:sz w:val="24"/>
                <w:lang w:val="ro-RO"/>
              </w:rPr>
              <w:t xml:space="preserve"> </w:t>
            </w:r>
            <w:r>
              <w:rPr>
                <w:sz w:val="24"/>
                <w:lang w:val="ro-RO"/>
              </w:rPr>
              <w:t>tone de deșeuri de plastic pe an</w:t>
            </w:r>
            <w:r w:rsidR="00DD257B">
              <w:rPr>
                <w:sz w:val="24"/>
                <w:lang w:val="ro-RO"/>
              </w:rPr>
              <w:t xml:space="preserve"> în 2021</w:t>
            </w:r>
            <w:r>
              <w:rPr>
                <w:sz w:val="24"/>
                <w:lang w:val="ro-RO"/>
              </w:rPr>
              <w:t xml:space="preserve">, dintre care circa </w:t>
            </w:r>
            <w:r>
              <w:rPr>
                <w:sz w:val="24"/>
                <w:szCs w:val="24"/>
                <w:lang w:val="ro-RO"/>
              </w:rPr>
              <w:t xml:space="preserve">51300 tone constituie </w:t>
            </w:r>
            <w:r w:rsidR="00DD257B">
              <w:rPr>
                <w:sz w:val="24"/>
                <w:szCs w:val="24"/>
                <w:lang w:val="ro-RO"/>
              </w:rPr>
              <w:t xml:space="preserve">deșeuri de ambalaje de plastic, fiind colectate și valorificate la nivel național doar </w:t>
            </w:r>
            <w:r w:rsidR="00DD257B" w:rsidRPr="00DD257B">
              <w:rPr>
                <w:sz w:val="24"/>
                <w:lang w:val="ro-RO"/>
              </w:rPr>
              <w:t>3375</w:t>
            </w:r>
            <w:r w:rsidR="00DD257B">
              <w:rPr>
                <w:sz w:val="24"/>
                <w:lang w:val="ro-RO"/>
              </w:rPr>
              <w:t xml:space="preserve"> tone, sau circa 3 %. </w:t>
            </w:r>
          </w:p>
        </w:tc>
      </w:tr>
      <w:tr w:rsidR="00457A8E" w:rsidRPr="00BA709E" w14:paraId="37AC1D29"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96724F" w14:textId="77777777" w:rsidR="00852069" w:rsidRPr="00AA2878" w:rsidRDefault="00852069" w:rsidP="005E01D0">
            <w:pPr>
              <w:ind w:firstLine="0"/>
              <w:jc w:val="left"/>
              <w:rPr>
                <w:sz w:val="24"/>
                <w:szCs w:val="24"/>
              </w:rPr>
            </w:pPr>
          </w:p>
        </w:tc>
      </w:tr>
      <w:tr w:rsidR="008103CD" w:rsidRPr="00BA709E" w14:paraId="2C728765"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E78D47" w14:textId="77777777" w:rsidR="00457A8E" w:rsidRPr="00BA709E" w:rsidRDefault="00457A8E" w:rsidP="00250584">
            <w:pPr>
              <w:ind w:firstLine="0"/>
              <w:jc w:val="left"/>
              <w:rPr>
                <w:sz w:val="24"/>
                <w:szCs w:val="24"/>
                <w:lang w:val="ro-RO"/>
              </w:rPr>
            </w:pPr>
            <w:r w:rsidRPr="00BA709E">
              <w:rPr>
                <w:bCs/>
                <w:sz w:val="24"/>
                <w:szCs w:val="24"/>
                <w:lang w:val="ro-RO"/>
              </w:rPr>
              <w:t xml:space="preserve">d) </w:t>
            </w:r>
            <w:r w:rsidRPr="00BA709E">
              <w:rPr>
                <w:sz w:val="24"/>
                <w:szCs w:val="24"/>
                <w:lang w:val="ro-RO"/>
              </w:rPr>
              <w:t xml:space="preserve">Descrieți cum a evoluat problema şi cum va evolua fără o intervenție </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23BF66" w14:textId="77777777" w:rsidR="00457A8E" w:rsidRPr="00BA709E" w:rsidRDefault="00457A8E" w:rsidP="00250584">
            <w:pPr>
              <w:ind w:firstLine="0"/>
              <w:jc w:val="left"/>
              <w:rPr>
                <w:sz w:val="24"/>
                <w:szCs w:val="24"/>
                <w:lang w:val="ro-RO"/>
              </w:rPr>
            </w:pPr>
          </w:p>
        </w:tc>
      </w:tr>
      <w:tr w:rsidR="00457A8E" w:rsidRPr="00BA709E" w14:paraId="4D313F8F" w14:textId="77777777" w:rsidTr="003F63CA">
        <w:trPr>
          <w:jc w:val="center"/>
        </w:trPr>
        <w:tc>
          <w:tcPr>
            <w:tcW w:w="5000" w:type="pct"/>
            <w:gridSpan w:val="3"/>
            <w:tcBorders>
              <w:top w:val="nil"/>
              <w:left w:val="single" w:sz="6" w:space="0" w:color="000000"/>
              <w:bottom w:val="single" w:sz="6" w:space="0" w:color="000000"/>
              <w:right w:val="single" w:sz="6" w:space="0" w:color="000000"/>
            </w:tcBorders>
          </w:tcPr>
          <w:p w14:paraId="40C0F147" w14:textId="77777777" w:rsidR="005C716C" w:rsidRDefault="005C716C" w:rsidP="005C716C">
            <w:pPr>
              <w:ind w:firstLine="0"/>
              <w:rPr>
                <w:sz w:val="24"/>
                <w:szCs w:val="24"/>
                <w:lang w:val="ro-RO"/>
              </w:rPr>
            </w:pPr>
          </w:p>
          <w:p w14:paraId="44F5047D" w14:textId="77777777" w:rsidR="004C438F" w:rsidRDefault="004C438F" w:rsidP="005C716C">
            <w:pPr>
              <w:ind w:firstLine="0"/>
              <w:rPr>
                <w:sz w:val="24"/>
                <w:szCs w:val="24"/>
                <w:lang w:val="ro-RO"/>
              </w:rPr>
            </w:pPr>
            <w:r>
              <w:rPr>
                <w:sz w:val="24"/>
                <w:szCs w:val="24"/>
                <w:lang w:val="ro-RO"/>
              </w:rPr>
              <w:t>În Republica Moldova, ca și în toate țările, consumul de ambalaje de plastic de unică folosință este în continuă creștere, datorată creșterii bunăstării populației.</w:t>
            </w:r>
          </w:p>
          <w:p w14:paraId="06BA0522" w14:textId="77777777" w:rsidR="00D0135C" w:rsidRDefault="00D0135C" w:rsidP="005C716C">
            <w:pPr>
              <w:ind w:firstLine="0"/>
              <w:rPr>
                <w:sz w:val="24"/>
                <w:szCs w:val="24"/>
                <w:lang w:val="ro-RO"/>
              </w:rPr>
            </w:pPr>
            <w:r>
              <w:rPr>
                <w:sz w:val="24"/>
                <w:szCs w:val="24"/>
                <w:lang w:val="ro-RO"/>
              </w:rPr>
              <w:t xml:space="preserve">În graficul de mai jos sunt prezentate importurile de produse ambalate în ambalaje de unică folosință, precum plastic și aluminiu, și ambalaje reutilizabile, precum sticla. </w:t>
            </w:r>
          </w:p>
          <w:p w14:paraId="29639509" w14:textId="77777777" w:rsidR="00D0135C" w:rsidRDefault="00D0135C" w:rsidP="005C716C">
            <w:pPr>
              <w:ind w:firstLine="0"/>
              <w:rPr>
                <w:sz w:val="24"/>
                <w:szCs w:val="24"/>
                <w:lang w:val="ro-RO"/>
              </w:rPr>
            </w:pPr>
          </w:p>
          <w:p w14:paraId="6C595023" w14:textId="77777777" w:rsidR="00D0135C" w:rsidRDefault="00D0135C" w:rsidP="005C716C">
            <w:pPr>
              <w:ind w:firstLine="0"/>
              <w:rPr>
                <w:sz w:val="24"/>
                <w:szCs w:val="24"/>
                <w:lang w:val="ro-RO"/>
              </w:rPr>
            </w:pPr>
            <w:r>
              <w:rPr>
                <w:noProof/>
              </w:rPr>
              <w:drawing>
                <wp:inline distT="0" distB="0" distL="0" distR="0" wp14:anchorId="1FD207B1" wp14:editId="577DD75C">
                  <wp:extent cx="5852160" cy="38252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642EB3" w14:textId="77777777" w:rsidR="00D0135C" w:rsidRPr="0005353F" w:rsidRDefault="00D0135C" w:rsidP="005C716C">
            <w:pPr>
              <w:ind w:firstLine="0"/>
              <w:rPr>
                <w:sz w:val="22"/>
                <w:szCs w:val="24"/>
                <w:lang w:val="ro-RO"/>
              </w:rPr>
            </w:pPr>
            <w:r w:rsidRPr="0005353F">
              <w:rPr>
                <w:sz w:val="22"/>
                <w:szCs w:val="24"/>
                <w:lang w:val="ro-RO"/>
              </w:rPr>
              <w:t>Fig</w:t>
            </w:r>
            <w:r w:rsidR="0005353F" w:rsidRPr="0005353F">
              <w:rPr>
                <w:sz w:val="22"/>
                <w:szCs w:val="24"/>
                <w:lang w:val="ro-RO"/>
              </w:rPr>
              <w:t xml:space="preserve"> 7</w:t>
            </w:r>
            <w:r w:rsidRPr="0005353F">
              <w:rPr>
                <w:sz w:val="22"/>
                <w:szCs w:val="24"/>
                <w:lang w:val="ro-RO"/>
              </w:rPr>
              <w:t xml:space="preserve">. Importul de produse ambalate în ambalaje potențial supuse sistemului de depozit, litri </w:t>
            </w:r>
          </w:p>
          <w:p w14:paraId="536056BA" w14:textId="77777777" w:rsidR="0005353F" w:rsidRPr="0005353F" w:rsidRDefault="0005353F" w:rsidP="0005353F">
            <w:pPr>
              <w:rPr>
                <w:sz w:val="24"/>
                <w:lang w:val="ro-RO"/>
              </w:rPr>
            </w:pPr>
            <w:r w:rsidRPr="0005353F">
              <w:rPr>
                <w:szCs w:val="24"/>
                <w:lang w:val="ro-RO"/>
              </w:rPr>
              <w:t xml:space="preserve">Sursa: </w:t>
            </w:r>
            <w:hyperlink r:id="rId23" w:history="1">
              <w:r w:rsidRPr="0092139F">
                <w:rPr>
                  <w:rStyle w:val="a4"/>
                  <w:szCs w:val="24"/>
                  <w:lang w:val="ro-RO"/>
                </w:rPr>
                <w:t>https://comtradeplus.un.org/</w:t>
              </w:r>
            </w:hyperlink>
          </w:p>
          <w:p w14:paraId="31EC0546" w14:textId="77777777" w:rsidR="0005353F" w:rsidRDefault="0005353F" w:rsidP="0005353F">
            <w:pPr>
              <w:rPr>
                <w:sz w:val="24"/>
                <w:lang w:val="ro-RO"/>
              </w:rPr>
            </w:pPr>
          </w:p>
          <w:p w14:paraId="469310E4" w14:textId="77777777" w:rsidR="00D0135C" w:rsidRDefault="00D0135C" w:rsidP="005C716C">
            <w:pPr>
              <w:ind w:firstLine="0"/>
              <w:rPr>
                <w:sz w:val="24"/>
                <w:szCs w:val="24"/>
                <w:lang w:val="ro-RO"/>
              </w:rPr>
            </w:pPr>
          </w:p>
          <w:p w14:paraId="12FBD917" w14:textId="77777777" w:rsidR="00D0135C" w:rsidRDefault="00D0135C" w:rsidP="005C716C">
            <w:pPr>
              <w:ind w:firstLine="0"/>
              <w:rPr>
                <w:sz w:val="24"/>
                <w:szCs w:val="24"/>
                <w:lang w:val="ro-RO"/>
              </w:rPr>
            </w:pPr>
            <w:r>
              <w:rPr>
                <w:sz w:val="24"/>
                <w:szCs w:val="24"/>
                <w:lang w:val="ro-RO"/>
              </w:rPr>
              <w:t xml:space="preserve">Graficul denotă o creștere a importurilor în perioada 2018-2022, de la 89,48 mln litri în 2018 la 126,14 mln litri în 2022. </w:t>
            </w:r>
          </w:p>
          <w:p w14:paraId="62C40E29" w14:textId="77777777" w:rsidR="00D0135C" w:rsidRDefault="00D0135C" w:rsidP="005C716C">
            <w:pPr>
              <w:ind w:firstLine="0"/>
              <w:rPr>
                <w:sz w:val="24"/>
                <w:szCs w:val="24"/>
                <w:lang w:val="ro-RO"/>
              </w:rPr>
            </w:pPr>
          </w:p>
          <w:p w14:paraId="16602DB0" w14:textId="77777777" w:rsidR="00D0135C" w:rsidRDefault="00D0135C" w:rsidP="005C716C">
            <w:pPr>
              <w:ind w:firstLine="0"/>
              <w:rPr>
                <w:sz w:val="24"/>
                <w:szCs w:val="24"/>
                <w:lang w:val="ro-RO"/>
              </w:rPr>
            </w:pPr>
            <w:r>
              <w:rPr>
                <w:sz w:val="24"/>
                <w:szCs w:val="24"/>
                <w:lang w:val="ro-RO"/>
              </w:rPr>
              <w:t>În ceea ce privește importul de ambalaje</w:t>
            </w:r>
            <w:r w:rsidR="00976D9C">
              <w:rPr>
                <w:sz w:val="24"/>
                <w:szCs w:val="24"/>
                <w:lang w:val="ro-RO"/>
              </w:rPr>
              <w:t xml:space="preserve"> de plastic, sticlă și aluminiu, tendința este diferită, însă importul celor din plastic este în creștere, importul celor din sticlă a scăzut în 2020 și a sporit brusc în 2021, ceea ce poate fi asociat cu pandemia COVID. Totodată, RM are două companii care produc ambalaje din sticlă și care probabil pot acoperi o parte din necesitățile țării. Importul recipientelor din aluminiu este în creștere, de la 149,5 mii kg în 2018 la 197,2 mii kg în 2022.</w:t>
            </w:r>
          </w:p>
          <w:p w14:paraId="02C576E8" w14:textId="77777777" w:rsidR="00D0135C" w:rsidRDefault="00D0135C" w:rsidP="005C716C">
            <w:pPr>
              <w:ind w:firstLine="0"/>
              <w:rPr>
                <w:sz w:val="24"/>
                <w:szCs w:val="24"/>
                <w:lang w:val="ro-RO"/>
              </w:rPr>
            </w:pPr>
            <w:r>
              <w:rPr>
                <w:noProof/>
              </w:rPr>
              <w:lastRenderedPageBreak/>
              <w:drawing>
                <wp:inline distT="0" distB="0" distL="0" distR="0" wp14:anchorId="11BBB7E5" wp14:editId="698A8D01">
                  <wp:extent cx="6120765" cy="3674745"/>
                  <wp:effectExtent l="0" t="0" r="13335"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6F5E12" w14:textId="77777777" w:rsidR="00D0135C" w:rsidRPr="0005353F" w:rsidRDefault="00D0135C" w:rsidP="00D0135C">
            <w:pPr>
              <w:ind w:firstLine="0"/>
              <w:rPr>
                <w:sz w:val="22"/>
                <w:szCs w:val="24"/>
                <w:lang w:val="ro-RO"/>
              </w:rPr>
            </w:pPr>
            <w:r w:rsidRPr="0005353F">
              <w:rPr>
                <w:sz w:val="22"/>
                <w:szCs w:val="24"/>
                <w:lang w:val="ro-RO"/>
              </w:rPr>
              <w:t>Fig.</w:t>
            </w:r>
            <w:r w:rsidR="0005353F" w:rsidRPr="0005353F">
              <w:rPr>
                <w:sz w:val="22"/>
                <w:szCs w:val="24"/>
                <w:lang w:val="ro-RO"/>
              </w:rPr>
              <w:t xml:space="preserve"> 8</w:t>
            </w:r>
            <w:r w:rsidRPr="0005353F">
              <w:rPr>
                <w:sz w:val="22"/>
                <w:szCs w:val="24"/>
                <w:lang w:val="ro-RO"/>
              </w:rPr>
              <w:t xml:space="preserve"> Importul de ambalaje de plastic, sticlă și aluminiu potențial supuse sistemului de depozit, kg </w:t>
            </w:r>
          </w:p>
          <w:p w14:paraId="0778D6CD" w14:textId="77777777" w:rsidR="0005353F" w:rsidRPr="0005353F" w:rsidRDefault="0005353F" w:rsidP="0005353F">
            <w:pPr>
              <w:rPr>
                <w:sz w:val="24"/>
                <w:lang w:val="ro-RO"/>
              </w:rPr>
            </w:pPr>
            <w:r w:rsidRPr="0005353F">
              <w:rPr>
                <w:szCs w:val="24"/>
                <w:lang w:val="ro-RO"/>
              </w:rPr>
              <w:t xml:space="preserve">Sursa: </w:t>
            </w:r>
            <w:hyperlink r:id="rId25" w:history="1">
              <w:r w:rsidRPr="0092139F">
                <w:rPr>
                  <w:rStyle w:val="a4"/>
                  <w:szCs w:val="24"/>
                  <w:lang w:val="ro-RO"/>
                </w:rPr>
                <w:t>https://comtradeplus.un.org/</w:t>
              </w:r>
            </w:hyperlink>
          </w:p>
          <w:p w14:paraId="41D51D10" w14:textId="77777777" w:rsidR="0005353F" w:rsidRDefault="0005353F" w:rsidP="0005353F">
            <w:pPr>
              <w:rPr>
                <w:sz w:val="24"/>
                <w:lang w:val="ro-RO"/>
              </w:rPr>
            </w:pPr>
          </w:p>
          <w:p w14:paraId="27C8B732" w14:textId="77777777" w:rsidR="005C716C" w:rsidRPr="00BA709E" w:rsidRDefault="00976D9C" w:rsidP="005C716C">
            <w:pPr>
              <w:ind w:firstLine="0"/>
              <w:rPr>
                <w:sz w:val="24"/>
                <w:szCs w:val="24"/>
                <w:lang w:val="ro-RO"/>
              </w:rPr>
            </w:pPr>
            <w:r>
              <w:rPr>
                <w:sz w:val="24"/>
                <w:szCs w:val="24"/>
                <w:lang w:val="ro-RO"/>
              </w:rPr>
              <w:t>Cum a fost menționat anterior</w:t>
            </w:r>
            <w:r w:rsidR="004C438F">
              <w:rPr>
                <w:sz w:val="24"/>
                <w:szCs w:val="24"/>
                <w:lang w:val="ro-RO"/>
              </w:rPr>
              <w:t>, sistemul de colectare selectivă a deșe</w:t>
            </w:r>
            <w:r>
              <w:rPr>
                <w:sz w:val="24"/>
                <w:szCs w:val="24"/>
                <w:lang w:val="ro-RO"/>
              </w:rPr>
              <w:t>urile este încă slab dezvoltat. C</w:t>
            </w:r>
            <w:r w:rsidR="005C716C" w:rsidRPr="00BA709E">
              <w:rPr>
                <w:sz w:val="24"/>
                <w:szCs w:val="24"/>
                <w:lang w:val="ro-RO"/>
              </w:rPr>
              <w:t>onform datelor Agenției de Mediu, în prezent, 12 operatori economici sunt autorizați în colectarea deșeurilor de  mase plastice, dintre care 4 instalații pentru reciclarea maselor plastice. Gradul de reciclare a deșeurilor de mase plastice a fost estimat în baza cantităților raportate de agenții economici autorizați către IPM, corelată cu cantitatea totală de deșeuri de mase plastice generată la nivel de țară. Cea din urmă a fost dedusă în baza indicatorului de generare a deșeurilor de plastic pe cap de locuitor (circa 34-46 kg/pers/an), estimat în baza ratei de generare a deșeurilor municipale și compoziția morfologică a deșeurilor.</w:t>
            </w:r>
          </w:p>
          <w:p w14:paraId="5A28BE79" w14:textId="77777777" w:rsidR="005C716C" w:rsidRPr="00BA709E" w:rsidRDefault="005C716C" w:rsidP="005C716C">
            <w:pPr>
              <w:ind w:firstLine="0"/>
              <w:rPr>
                <w:sz w:val="24"/>
                <w:szCs w:val="24"/>
                <w:lang w:val="ro-RO"/>
              </w:rPr>
            </w:pPr>
          </w:p>
          <w:p w14:paraId="68200278" w14:textId="77777777" w:rsidR="005C716C" w:rsidRPr="00BA709E" w:rsidRDefault="005C716C" w:rsidP="005C716C">
            <w:pPr>
              <w:ind w:firstLine="0"/>
              <w:rPr>
                <w:sz w:val="24"/>
                <w:szCs w:val="24"/>
                <w:lang w:val="ro-RO"/>
              </w:rPr>
            </w:pPr>
            <w:r w:rsidRPr="0005353F">
              <w:rPr>
                <w:sz w:val="22"/>
                <w:szCs w:val="24"/>
                <w:lang w:val="ro-RO"/>
              </w:rPr>
              <w:t>Tabelul 1.</w:t>
            </w:r>
            <w:r w:rsidRPr="0005353F">
              <w:rPr>
                <w:sz w:val="18"/>
                <w:lang w:val="ro-RO"/>
              </w:rPr>
              <w:t xml:space="preserve"> </w:t>
            </w:r>
            <w:r w:rsidRPr="0005353F">
              <w:rPr>
                <w:sz w:val="22"/>
                <w:szCs w:val="24"/>
                <w:lang w:val="ro-RO"/>
              </w:rPr>
              <w:t>Estimarea gradului de reciclare a deșeurilor de mase plastice, 2014-2021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79"/>
              <w:gridCol w:w="1109"/>
              <w:gridCol w:w="1109"/>
              <w:gridCol w:w="1109"/>
              <w:gridCol w:w="1109"/>
              <w:gridCol w:w="1109"/>
              <w:gridCol w:w="1189"/>
            </w:tblGrid>
            <w:tr w:rsidR="005C716C" w:rsidRPr="00BA709E" w14:paraId="2180F146" w14:textId="77777777" w:rsidTr="006E0F05">
              <w:trPr>
                <w:trHeight w:val="281"/>
              </w:trPr>
              <w:tc>
                <w:tcPr>
                  <w:tcW w:w="0" w:type="auto"/>
                  <w:shd w:val="clear" w:color="auto" w:fill="BDD6EE"/>
                  <w:tcMar>
                    <w:top w:w="15" w:type="dxa"/>
                    <w:left w:w="15" w:type="dxa"/>
                    <w:bottom w:w="0" w:type="dxa"/>
                    <w:right w:w="15" w:type="dxa"/>
                  </w:tcMar>
                  <w:vAlign w:val="center"/>
                  <w:hideMark/>
                </w:tcPr>
                <w:p w14:paraId="2F0B9F9E" w14:textId="77777777" w:rsidR="005C716C" w:rsidRPr="00BA709E" w:rsidRDefault="005C716C" w:rsidP="005C716C">
                  <w:pPr>
                    <w:ind w:firstLine="219"/>
                    <w:jc w:val="center"/>
                    <w:rPr>
                      <w:b/>
                      <w:bCs/>
                      <w:lang w:val="ro-RO"/>
                    </w:rPr>
                  </w:pPr>
                </w:p>
              </w:tc>
              <w:tc>
                <w:tcPr>
                  <w:tcW w:w="0" w:type="auto"/>
                  <w:shd w:val="clear" w:color="auto" w:fill="BDD6EE"/>
                  <w:vAlign w:val="center"/>
                </w:tcPr>
                <w:p w14:paraId="6BF74B0F" w14:textId="77777777" w:rsidR="005C716C" w:rsidRPr="00BA709E" w:rsidRDefault="005C716C" w:rsidP="005C716C">
                  <w:pPr>
                    <w:ind w:firstLine="219"/>
                    <w:jc w:val="center"/>
                    <w:rPr>
                      <w:b/>
                      <w:bCs/>
                      <w:lang w:val="ro-RO"/>
                    </w:rPr>
                  </w:pPr>
                  <w:r w:rsidRPr="00BA709E">
                    <w:rPr>
                      <w:b/>
                      <w:bCs/>
                      <w:lang w:val="ro-RO"/>
                    </w:rPr>
                    <w:t>2014</w:t>
                  </w:r>
                </w:p>
              </w:tc>
              <w:tc>
                <w:tcPr>
                  <w:tcW w:w="0" w:type="auto"/>
                  <w:shd w:val="clear" w:color="auto" w:fill="BDD6EE"/>
                  <w:tcMar>
                    <w:top w:w="15" w:type="dxa"/>
                    <w:left w:w="15" w:type="dxa"/>
                    <w:bottom w:w="0" w:type="dxa"/>
                    <w:right w:w="15" w:type="dxa"/>
                  </w:tcMar>
                  <w:vAlign w:val="center"/>
                  <w:hideMark/>
                </w:tcPr>
                <w:p w14:paraId="0907766A" w14:textId="77777777" w:rsidR="005C716C" w:rsidRPr="00BA709E" w:rsidRDefault="005C716C" w:rsidP="005C716C">
                  <w:pPr>
                    <w:ind w:firstLine="219"/>
                    <w:jc w:val="center"/>
                    <w:rPr>
                      <w:b/>
                      <w:bCs/>
                      <w:lang w:val="ro-RO"/>
                    </w:rPr>
                  </w:pPr>
                  <w:r w:rsidRPr="00BA709E">
                    <w:rPr>
                      <w:b/>
                      <w:bCs/>
                      <w:lang w:val="ro-RO"/>
                    </w:rPr>
                    <w:t>2015</w:t>
                  </w:r>
                </w:p>
              </w:tc>
              <w:tc>
                <w:tcPr>
                  <w:tcW w:w="0" w:type="auto"/>
                  <w:shd w:val="clear" w:color="auto" w:fill="BDD6EE"/>
                  <w:tcMar>
                    <w:top w:w="15" w:type="dxa"/>
                    <w:left w:w="15" w:type="dxa"/>
                    <w:bottom w:w="0" w:type="dxa"/>
                    <w:right w:w="15" w:type="dxa"/>
                  </w:tcMar>
                  <w:vAlign w:val="center"/>
                  <w:hideMark/>
                </w:tcPr>
                <w:p w14:paraId="7E566CA3" w14:textId="77777777" w:rsidR="005C716C" w:rsidRPr="00BA709E" w:rsidRDefault="005C716C" w:rsidP="005C716C">
                  <w:pPr>
                    <w:ind w:firstLine="219"/>
                    <w:jc w:val="center"/>
                    <w:rPr>
                      <w:b/>
                      <w:bCs/>
                      <w:lang w:val="ro-RO"/>
                    </w:rPr>
                  </w:pPr>
                  <w:r w:rsidRPr="00BA709E">
                    <w:rPr>
                      <w:b/>
                      <w:bCs/>
                      <w:lang w:val="ro-RO"/>
                    </w:rPr>
                    <w:t>2016</w:t>
                  </w:r>
                </w:p>
              </w:tc>
              <w:tc>
                <w:tcPr>
                  <w:tcW w:w="0" w:type="auto"/>
                  <w:shd w:val="clear" w:color="auto" w:fill="BDD6EE"/>
                  <w:tcMar>
                    <w:top w:w="15" w:type="dxa"/>
                    <w:left w:w="15" w:type="dxa"/>
                    <w:bottom w:w="0" w:type="dxa"/>
                    <w:right w:w="15" w:type="dxa"/>
                  </w:tcMar>
                  <w:vAlign w:val="center"/>
                  <w:hideMark/>
                </w:tcPr>
                <w:p w14:paraId="5492A8E4" w14:textId="77777777" w:rsidR="005C716C" w:rsidRPr="00BA709E" w:rsidRDefault="005C716C" w:rsidP="005C716C">
                  <w:pPr>
                    <w:ind w:firstLine="219"/>
                    <w:jc w:val="center"/>
                    <w:rPr>
                      <w:b/>
                      <w:bCs/>
                      <w:lang w:val="ro-RO"/>
                    </w:rPr>
                  </w:pPr>
                  <w:r w:rsidRPr="00BA709E">
                    <w:rPr>
                      <w:b/>
                      <w:bCs/>
                      <w:lang w:val="ro-RO"/>
                    </w:rPr>
                    <w:t>2017</w:t>
                  </w:r>
                </w:p>
              </w:tc>
              <w:tc>
                <w:tcPr>
                  <w:tcW w:w="0" w:type="auto"/>
                  <w:shd w:val="clear" w:color="auto" w:fill="BDD6EE"/>
                  <w:tcMar>
                    <w:top w:w="15" w:type="dxa"/>
                    <w:left w:w="15" w:type="dxa"/>
                    <w:bottom w:w="0" w:type="dxa"/>
                    <w:right w:w="15" w:type="dxa"/>
                  </w:tcMar>
                  <w:vAlign w:val="center"/>
                  <w:hideMark/>
                </w:tcPr>
                <w:p w14:paraId="19662073" w14:textId="77777777" w:rsidR="005C716C" w:rsidRPr="00BA709E" w:rsidRDefault="005C716C" w:rsidP="005C716C">
                  <w:pPr>
                    <w:ind w:firstLine="219"/>
                    <w:jc w:val="center"/>
                    <w:rPr>
                      <w:b/>
                      <w:bCs/>
                      <w:lang w:val="ro-RO"/>
                    </w:rPr>
                  </w:pPr>
                  <w:r w:rsidRPr="00BA709E">
                    <w:rPr>
                      <w:b/>
                      <w:bCs/>
                      <w:lang w:val="ro-RO"/>
                    </w:rPr>
                    <w:t>2018</w:t>
                  </w:r>
                </w:p>
              </w:tc>
              <w:tc>
                <w:tcPr>
                  <w:tcW w:w="0" w:type="auto"/>
                  <w:shd w:val="clear" w:color="auto" w:fill="BDD6EE"/>
                  <w:vAlign w:val="center"/>
                </w:tcPr>
                <w:p w14:paraId="7DF7ABA6" w14:textId="77777777" w:rsidR="005C716C" w:rsidRPr="00BA709E" w:rsidRDefault="005C716C" w:rsidP="005C716C">
                  <w:pPr>
                    <w:ind w:firstLine="219"/>
                    <w:jc w:val="center"/>
                    <w:rPr>
                      <w:b/>
                      <w:bCs/>
                      <w:lang w:val="ro-RO"/>
                    </w:rPr>
                  </w:pPr>
                  <w:r w:rsidRPr="00BA709E">
                    <w:rPr>
                      <w:b/>
                      <w:bCs/>
                      <w:lang w:val="ro-RO"/>
                    </w:rPr>
                    <w:t>2021</w:t>
                  </w:r>
                </w:p>
              </w:tc>
            </w:tr>
            <w:tr w:rsidR="005C716C" w:rsidRPr="00BA709E" w14:paraId="26A8E4ED" w14:textId="77777777" w:rsidTr="006E0F05">
              <w:trPr>
                <w:trHeight w:val="9"/>
              </w:trPr>
              <w:tc>
                <w:tcPr>
                  <w:tcW w:w="0" w:type="auto"/>
                  <w:shd w:val="clear" w:color="auto" w:fill="auto"/>
                  <w:tcMar>
                    <w:top w:w="15" w:type="dxa"/>
                    <w:left w:w="15" w:type="dxa"/>
                    <w:bottom w:w="0" w:type="dxa"/>
                    <w:right w:w="15" w:type="dxa"/>
                  </w:tcMar>
                  <w:vAlign w:val="center"/>
                  <w:hideMark/>
                </w:tcPr>
                <w:p w14:paraId="6AB4C88B" w14:textId="77777777" w:rsidR="005C716C" w:rsidRPr="00BA709E" w:rsidRDefault="005C716C" w:rsidP="005C716C">
                  <w:pPr>
                    <w:spacing w:before="120" w:after="120"/>
                    <w:ind w:right="40" w:firstLine="219"/>
                    <w:contextualSpacing/>
                    <w:jc w:val="center"/>
                    <w:rPr>
                      <w:sz w:val="18"/>
                      <w:szCs w:val="24"/>
                      <w:lang w:val="ro-RO" w:eastAsia="ru-RU"/>
                    </w:rPr>
                  </w:pPr>
                  <w:r w:rsidRPr="00BA709E">
                    <w:rPr>
                      <w:sz w:val="18"/>
                      <w:szCs w:val="24"/>
                      <w:lang w:val="ro-RO" w:eastAsia="ru-RU"/>
                    </w:rPr>
                    <w:t>Cantitatea estimată de deșeuri de plastic generată anual, în baza ratei de generare/pers/an, tone</w:t>
                  </w:r>
                </w:p>
              </w:tc>
              <w:tc>
                <w:tcPr>
                  <w:tcW w:w="0" w:type="auto"/>
                  <w:shd w:val="clear" w:color="auto" w:fill="auto"/>
                  <w:tcMar>
                    <w:top w:w="15" w:type="dxa"/>
                    <w:left w:w="15" w:type="dxa"/>
                    <w:bottom w:w="0" w:type="dxa"/>
                    <w:right w:w="15" w:type="dxa"/>
                  </w:tcMar>
                  <w:vAlign w:val="center"/>
                  <w:hideMark/>
                </w:tcPr>
                <w:p w14:paraId="347E6C97"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97553.68</w:t>
                  </w:r>
                </w:p>
              </w:tc>
              <w:tc>
                <w:tcPr>
                  <w:tcW w:w="0" w:type="auto"/>
                  <w:shd w:val="clear" w:color="auto" w:fill="auto"/>
                  <w:tcMar>
                    <w:top w:w="15" w:type="dxa"/>
                    <w:left w:w="15" w:type="dxa"/>
                    <w:bottom w:w="0" w:type="dxa"/>
                    <w:right w:w="15" w:type="dxa"/>
                  </w:tcMar>
                  <w:vAlign w:val="center"/>
                  <w:hideMark/>
                </w:tcPr>
                <w:p w14:paraId="7118AC80"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96718.88</w:t>
                  </w:r>
                </w:p>
              </w:tc>
              <w:tc>
                <w:tcPr>
                  <w:tcW w:w="0" w:type="auto"/>
                  <w:shd w:val="clear" w:color="auto" w:fill="auto"/>
                  <w:tcMar>
                    <w:top w:w="15" w:type="dxa"/>
                    <w:left w:w="15" w:type="dxa"/>
                    <w:bottom w:w="0" w:type="dxa"/>
                    <w:right w:w="15" w:type="dxa"/>
                  </w:tcMar>
                  <w:vAlign w:val="center"/>
                  <w:hideMark/>
                </w:tcPr>
                <w:p w14:paraId="5A9EADEC"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96029.16</w:t>
                  </w:r>
                </w:p>
              </w:tc>
              <w:tc>
                <w:tcPr>
                  <w:tcW w:w="0" w:type="auto"/>
                  <w:shd w:val="clear" w:color="auto" w:fill="auto"/>
                  <w:tcMar>
                    <w:top w:w="15" w:type="dxa"/>
                    <w:left w:w="15" w:type="dxa"/>
                    <w:bottom w:w="0" w:type="dxa"/>
                    <w:right w:w="15" w:type="dxa"/>
                  </w:tcMar>
                  <w:vAlign w:val="center"/>
                  <w:hideMark/>
                </w:tcPr>
                <w:p w14:paraId="148327A7"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94518.37</w:t>
                  </w:r>
                </w:p>
              </w:tc>
              <w:tc>
                <w:tcPr>
                  <w:tcW w:w="0" w:type="auto"/>
                  <w:shd w:val="clear" w:color="auto" w:fill="auto"/>
                  <w:tcMar>
                    <w:top w:w="15" w:type="dxa"/>
                    <w:left w:w="15" w:type="dxa"/>
                    <w:bottom w:w="0" w:type="dxa"/>
                    <w:right w:w="15" w:type="dxa"/>
                  </w:tcMar>
                  <w:vAlign w:val="center"/>
                  <w:hideMark/>
                </w:tcPr>
                <w:p w14:paraId="0695013F"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92832.38</w:t>
                  </w:r>
                </w:p>
              </w:tc>
              <w:tc>
                <w:tcPr>
                  <w:tcW w:w="0" w:type="auto"/>
                  <w:vAlign w:val="center"/>
                </w:tcPr>
                <w:p w14:paraId="1D5D7D9E"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120822,91</w:t>
                  </w:r>
                </w:p>
              </w:tc>
            </w:tr>
            <w:tr w:rsidR="005C716C" w:rsidRPr="00BA709E" w14:paraId="5266C751" w14:textId="77777777" w:rsidTr="006E0F05">
              <w:trPr>
                <w:trHeight w:val="9"/>
              </w:trPr>
              <w:tc>
                <w:tcPr>
                  <w:tcW w:w="0" w:type="auto"/>
                  <w:shd w:val="clear" w:color="auto" w:fill="auto"/>
                  <w:tcMar>
                    <w:top w:w="15" w:type="dxa"/>
                    <w:left w:w="15" w:type="dxa"/>
                    <w:bottom w:w="0" w:type="dxa"/>
                    <w:right w:w="15" w:type="dxa"/>
                  </w:tcMar>
                  <w:vAlign w:val="center"/>
                  <w:hideMark/>
                </w:tcPr>
                <w:p w14:paraId="3863195C" w14:textId="77777777" w:rsidR="005C716C" w:rsidRPr="00BA709E" w:rsidRDefault="005C716C" w:rsidP="005C716C">
                  <w:pPr>
                    <w:spacing w:before="120" w:after="120"/>
                    <w:ind w:left="70" w:right="40" w:firstLine="219"/>
                    <w:contextualSpacing/>
                    <w:jc w:val="center"/>
                    <w:rPr>
                      <w:sz w:val="18"/>
                      <w:szCs w:val="24"/>
                      <w:lang w:val="ro-RO" w:eastAsia="ru-RU"/>
                    </w:rPr>
                  </w:pPr>
                  <w:r w:rsidRPr="00BA709E">
                    <w:rPr>
                      <w:sz w:val="18"/>
                      <w:szCs w:val="24"/>
                      <w:lang w:val="ro-RO" w:eastAsia="ru-RU"/>
                    </w:rPr>
                    <w:t>Total prelucrat, tone</w:t>
                  </w:r>
                </w:p>
              </w:tc>
              <w:tc>
                <w:tcPr>
                  <w:tcW w:w="0" w:type="auto"/>
                  <w:shd w:val="clear" w:color="auto" w:fill="auto"/>
                  <w:tcMar>
                    <w:top w:w="15" w:type="dxa"/>
                    <w:left w:w="15" w:type="dxa"/>
                    <w:bottom w:w="0" w:type="dxa"/>
                    <w:right w:w="15" w:type="dxa"/>
                  </w:tcMar>
                  <w:vAlign w:val="center"/>
                  <w:hideMark/>
                </w:tcPr>
                <w:p w14:paraId="4CD0C047"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1351,9</w:t>
                  </w:r>
                </w:p>
              </w:tc>
              <w:tc>
                <w:tcPr>
                  <w:tcW w:w="0" w:type="auto"/>
                  <w:shd w:val="clear" w:color="auto" w:fill="auto"/>
                  <w:tcMar>
                    <w:top w:w="15" w:type="dxa"/>
                    <w:left w:w="15" w:type="dxa"/>
                    <w:bottom w:w="0" w:type="dxa"/>
                    <w:right w:w="15" w:type="dxa"/>
                  </w:tcMar>
                  <w:vAlign w:val="center"/>
                  <w:hideMark/>
                </w:tcPr>
                <w:p w14:paraId="7F6D462C"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46,853</w:t>
                  </w:r>
                </w:p>
              </w:tc>
              <w:tc>
                <w:tcPr>
                  <w:tcW w:w="0" w:type="auto"/>
                  <w:shd w:val="clear" w:color="auto" w:fill="auto"/>
                  <w:tcMar>
                    <w:top w:w="15" w:type="dxa"/>
                    <w:left w:w="15" w:type="dxa"/>
                    <w:bottom w:w="0" w:type="dxa"/>
                    <w:right w:w="15" w:type="dxa"/>
                  </w:tcMar>
                  <w:vAlign w:val="center"/>
                  <w:hideMark/>
                </w:tcPr>
                <w:p w14:paraId="1E29F2C8"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519,855</w:t>
                  </w:r>
                </w:p>
              </w:tc>
              <w:tc>
                <w:tcPr>
                  <w:tcW w:w="0" w:type="auto"/>
                  <w:shd w:val="clear" w:color="auto" w:fill="auto"/>
                  <w:tcMar>
                    <w:top w:w="15" w:type="dxa"/>
                    <w:left w:w="15" w:type="dxa"/>
                    <w:bottom w:w="0" w:type="dxa"/>
                    <w:right w:w="15" w:type="dxa"/>
                  </w:tcMar>
                  <w:vAlign w:val="center"/>
                  <w:hideMark/>
                </w:tcPr>
                <w:p w14:paraId="4A53B29B"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2533,727</w:t>
                  </w:r>
                </w:p>
              </w:tc>
              <w:tc>
                <w:tcPr>
                  <w:tcW w:w="0" w:type="auto"/>
                  <w:shd w:val="clear" w:color="auto" w:fill="auto"/>
                  <w:tcMar>
                    <w:top w:w="15" w:type="dxa"/>
                    <w:left w:w="15" w:type="dxa"/>
                    <w:bottom w:w="0" w:type="dxa"/>
                    <w:right w:w="15" w:type="dxa"/>
                  </w:tcMar>
                  <w:vAlign w:val="center"/>
                  <w:hideMark/>
                </w:tcPr>
                <w:p w14:paraId="07F7B6E2"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3792,14</w:t>
                  </w:r>
                </w:p>
              </w:tc>
              <w:tc>
                <w:tcPr>
                  <w:tcW w:w="0" w:type="auto"/>
                  <w:vAlign w:val="center"/>
                </w:tcPr>
                <w:p w14:paraId="452FB605"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3375</w:t>
                  </w:r>
                </w:p>
              </w:tc>
            </w:tr>
            <w:tr w:rsidR="005C716C" w:rsidRPr="00BA709E" w14:paraId="00D9A0E8" w14:textId="77777777" w:rsidTr="006E0F05">
              <w:trPr>
                <w:trHeight w:val="9"/>
              </w:trPr>
              <w:tc>
                <w:tcPr>
                  <w:tcW w:w="0" w:type="auto"/>
                  <w:shd w:val="clear" w:color="auto" w:fill="auto"/>
                  <w:tcMar>
                    <w:top w:w="15" w:type="dxa"/>
                    <w:left w:w="15" w:type="dxa"/>
                    <w:bottom w:w="0" w:type="dxa"/>
                    <w:right w:w="15" w:type="dxa"/>
                  </w:tcMar>
                  <w:vAlign w:val="center"/>
                  <w:hideMark/>
                </w:tcPr>
                <w:p w14:paraId="4BF93EAC" w14:textId="77777777" w:rsidR="005C716C" w:rsidRPr="00BA709E" w:rsidRDefault="005C716C" w:rsidP="005C716C">
                  <w:pPr>
                    <w:spacing w:before="120" w:after="120"/>
                    <w:ind w:left="70" w:firstLine="219"/>
                    <w:contextualSpacing/>
                    <w:jc w:val="center"/>
                    <w:rPr>
                      <w:sz w:val="18"/>
                      <w:szCs w:val="24"/>
                      <w:lang w:val="ro-RO" w:eastAsia="ru-RU"/>
                    </w:rPr>
                  </w:pPr>
                  <w:r w:rsidRPr="00BA709E">
                    <w:rPr>
                      <w:sz w:val="18"/>
                      <w:szCs w:val="24"/>
                      <w:lang w:val="ro-RO" w:eastAsia="ru-RU"/>
                    </w:rPr>
                    <w:t>Rata deșeurilor colectate și valorificate, %</w:t>
                  </w:r>
                </w:p>
              </w:tc>
              <w:tc>
                <w:tcPr>
                  <w:tcW w:w="0" w:type="auto"/>
                  <w:shd w:val="clear" w:color="auto" w:fill="auto"/>
                  <w:tcMar>
                    <w:top w:w="15" w:type="dxa"/>
                    <w:left w:w="15" w:type="dxa"/>
                    <w:bottom w:w="0" w:type="dxa"/>
                    <w:right w:w="15" w:type="dxa"/>
                  </w:tcMar>
                  <w:vAlign w:val="center"/>
                  <w:hideMark/>
                </w:tcPr>
                <w:p w14:paraId="33E63AEE" w14:textId="77777777" w:rsidR="005C716C" w:rsidRPr="00BA709E" w:rsidRDefault="005C716C" w:rsidP="005C716C">
                  <w:pPr>
                    <w:spacing w:before="120" w:after="120"/>
                    <w:ind w:left="70" w:right="40" w:firstLine="219"/>
                    <w:contextualSpacing/>
                    <w:jc w:val="center"/>
                    <w:rPr>
                      <w:szCs w:val="24"/>
                      <w:lang w:val="ro-RO" w:eastAsia="ru-RU"/>
                    </w:rPr>
                  </w:pPr>
                  <w:r w:rsidRPr="00BA709E">
                    <w:rPr>
                      <w:lang w:val="ro-RO"/>
                    </w:rPr>
                    <w:t>1</w:t>
                  </w:r>
                  <w:r w:rsidRPr="00BA709E">
                    <w:rPr>
                      <w:szCs w:val="24"/>
                      <w:lang w:val="ro-RO" w:eastAsia="ru-RU"/>
                    </w:rPr>
                    <w:t>.39</w:t>
                  </w:r>
                </w:p>
              </w:tc>
              <w:tc>
                <w:tcPr>
                  <w:tcW w:w="0" w:type="auto"/>
                  <w:shd w:val="clear" w:color="auto" w:fill="auto"/>
                  <w:tcMar>
                    <w:top w:w="15" w:type="dxa"/>
                    <w:left w:w="15" w:type="dxa"/>
                    <w:bottom w:w="0" w:type="dxa"/>
                    <w:right w:w="15" w:type="dxa"/>
                  </w:tcMar>
                  <w:vAlign w:val="center"/>
                  <w:hideMark/>
                </w:tcPr>
                <w:p w14:paraId="226F8C43" w14:textId="77777777" w:rsidR="005C716C" w:rsidRPr="00BA709E" w:rsidRDefault="005C716C" w:rsidP="005C716C">
                  <w:pPr>
                    <w:spacing w:before="120" w:after="120"/>
                    <w:ind w:left="70" w:right="40" w:firstLine="219"/>
                    <w:contextualSpacing/>
                    <w:jc w:val="center"/>
                    <w:rPr>
                      <w:szCs w:val="24"/>
                      <w:lang w:val="ro-RO" w:eastAsia="ru-RU"/>
                    </w:rPr>
                  </w:pPr>
                  <w:r w:rsidRPr="00BA709E">
                    <w:rPr>
                      <w:lang w:val="ro-RO"/>
                    </w:rPr>
                    <w:t>0</w:t>
                  </w:r>
                  <w:r w:rsidRPr="00BA709E">
                    <w:rPr>
                      <w:szCs w:val="24"/>
                      <w:lang w:val="ro-RO" w:eastAsia="ru-RU"/>
                    </w:rPr>
                    <w:t>.</w:t>
                  </w:r>
                  <w:r w:rsidRPr="00BA709E">
                    <w:rPr>
                      <w:lang w:val="ro-RO"/>
                    </w:rPr>
                    <w:t>05</w:t>
                  </w:r>
                </w:p>
              </w:tc>
              <w:tc>
                <w:tcPr>
                  <w:tcW w:w="0" w:type="auto"/>
                  <w:shd w:val="clear" w:color="auto" w:fill="auto"/>
                  <w:tcMar>
                    <w:top w:w="15" w:type="dxa"/>
                    <w:left w:w="15" w:type="dxa"/>
                    <w:bottom w:w="0" w:type="dxa"/>
                    <w:right w:w="15" w:type="dxa"/>
                  </w:tcMar>
                  <w:vAlign w:val="center"/>
                  <w:hideMark/>
                </w:tcPr>
                <w:p w14:paraId="2C64AAFA" w14:textId="77777777" w:rsidR="005C716C" w:rsidRPr="00BA709E" w:rsidRDefault="005C716C" w:rsidP="005C716C">
                  <w:pPr>
                    <w:spacing w:before="120" w:after="120"/>
                    <w:ind w:left="70" w:right="40" w:firstLine="219"/>
                    <w:contextualSpacing/>
                    <w:jc w:val="center"/>
                    <w:rPr>
                      <w:szCs w:val="24"/>
                      <w:lang w:val="ro-RO" w:eastAsia="ru-RU"/>
                    </w:rPr>
                  </w:pPr>
                  <w:r w:rsidRPr="00BA709E">
                    <w:rPr>
                      <w:lang w:val="ro-RO"/>
                    </w:rPr>
                    <w:t>0</w:t>
                  </w:r>
                  <w:r w:rsidRPr="00BA709E">
                    <w:rPr>
                      <w:szCs w:val="24"/>
                      <w:lang w:val="ro-RO" w:eastAsia="ru-RU"/>
                    </w:rPr>
                    <w:t>.54</w:t>
                  </w:r>
                </w:p>
              </w:tc>
              <w:tc>
                <w:tcPr>
                  <w:tcW w:w="0" w:type="auto"/>
                  <w:shd w:val="clear" w:color="auto" w:fill="auto"/>
                  <w:tcMar>
                    <w:top w:w="15" w:type="dxa"/>
                    <w:left w:w="15" w:type="dxa"/>
                    <w:bottom w:w="0" w:type="dxa"/>
                    <w:right w:w="15" w:type="dxa"/>
                  </w:tcMar>
                  <w:vAlign w:val="center"/>
                  <w:hideMark/>
                </w:tcPr>
                <w:p w14:paraId="2CFFFAFC" w14:textId="77777777" w:rsidR="005C716C" w:rsidRPr="00BA709E" w:rsidRDefault="005C716C" w:rsidP="005C716C">
                  <w:pPr>
                    <w:spacing w:before="120" w:after="120"/>
                    <w:ind w:left="70" w:right="40" w:firstLine="219"/>
                    <w:contextualSpacing/>
                    <w:jc w:val="center"/>
                    <w:rPr>
                      <w:szCs w:val="24"/>
                      <w:lang w:val="ro-RO" w:eastAsia="ru-RU"/>
                    </w:rPr>
                  </w:pPr>
                  <w:r w:rsidRPr="00BA709E">
                    <w:rPr>
                      <w:lang w:val="ro-RO"/>
                    </w:rPr>
                    <w:t>2</w:t>
                  </w:r>
                  <w:r w:rsidRPr="00BA709E">
                    <w:rPr>
                      <w:szCs w:val="24"/>
                      <w:lang w:val="ro-RO" w:eastAsia="ru-RU"/>
                    </w:rPr>
                    <w:t>.70</w:t>
                  </w:r>
                </w:p>
              </w:tc>
              <w:tc>
                <w:tcPr>
                  <w:tcW w:w="0" w:type="auto"/>
                  <w:shd w:val="clear" w:color="auto" w:fill="auto"/>
                  <w:tcMar>
                    <w:top w:w="15" w:type="dxa"/>
                    <w:left w:w="15" w:type="dxa"/>
                    <w:bottom w:w="0" w:type="dxa"/>
                    <w:right w:w="15" w:type="dxa"/>
                  </w:tcMar>
                  <w:vAlign w:val="center"/>
                  <w:hideMark/>
                </w:tcPr>
                <w:p w14:paraId="734C57EE"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4.10</w:t>
                  </w:r>
                </w:p>
              </w:tc>
              <w:tc>
                <w:tcPr>
                  <w:tcW w:w="0" w:type="auto"/>
                  <w:vAlign w:val="center"/>
                </w:tcPr>
                <w:p w14:paraId="52D6431D" w14:textId="77777777" w:rsidR="005C716C" w:rsidRPr="00BA709E" w:rsidRDefault="005C716C" w:rsidP="005C716C">
                  <w:pPr>
                    <w:spacing w:before="120" w:after="120"/>
                    <w:ind w:left="70" w:right="40" w:firstLine="219"/>
                    <w:contextualSpacing/>
                    <w:jc w:val="center"/>
                    <w:rPr>
                      <w:szCs w:val="24"/>
                      <w:lang w:val="ro-RO" w:eastAsia="ru-RU"/>
                    </w:rPr>
                  </w:pPr>
                  <w:r w:rsidRPr="00BA709E">
                    <w:rPr>
                      <w:szCs w:val="24"/>
                      <w:lang w:val="ro-RO" w:eastAsia="ru-RU"/>
                    </w:rPr>
                    <w:t>3</w:t>
                  </w:r>
                </w:p>
              </w:tc>
            </w:tr>
          </w:tbl>
          <w:p w14:paraId="37FE90F0" w14:textId="77777777" w:rsidR="005C716C" w:rsidRPr="00BA709E" w:rsidRDefault="005C716C" w:rsidP="005C716C">
            <w:pPr>
              <w:ind w:firstLine="0"/>
              <w:rPr>
                <w:szCs w:val="24"/>
                <w:lang w:val="ro-RO"/>
              </w:rPr>
            </w:pPr>
            <w:r w:rsidRPr="00BA709E">
              <w:rPr>
                <w:szCs w:val="24"/>
                <w:lang w:val="ro-RO"/>
              </w:rPr>
              <w:t>Sursa: În baza datelor IPM și a calculelor grupului de autori ai Proramului Național de Gestionare a Deșeurilor (proiec</w:t>
            </w:r>
          </w:p>
          <w:p w14:paraId="3C0B2AEB" w14:textId="77777777" w:rsidR="005C716C" w:rsidRPr="00BA709E" w:rsidRDefault="005C716C" w:rsidP="005C716C">
            <w:pPr>
              <w:ind w:firstLine="0"/>
              <w:rPr>
                <w:sz w:val="24"/>
                <w:szCs w:val="24"/>
                <w:lang w:val="ro-RO"/>
              </w:rPr>
            </w:pPr>
          </w:p>
          <w:p w14:paraId="137A559C" w14:textId="77777777" w:rsidR="005C716C" w:rsidRPr="00BA709E" w:rsidRDefault="005C716C" w:rsidP="005C716C">
            <w:pPr>
              <w:ind w:firstLine="0"/>
              <w:rPr>
                <w:sz w:val="24"/>
                <w:szCs w:val="24"/>
                <w:lang w:val="ro-RO"/>
              </w:rPr>
            </w:pPr>
            <w:r w:rsidRPr="00BA709E">
              <w:rPr>
                <w:sz w:val="24"/>
                <w:szCs w:val="24"/>
                <w:lang w:val="ro-RO"/>
              </w:rPr>
              <w:t>Deși cantitatea de deșeuri de mase plastice colectată este în creștere, rata de colectare în raport cu potențialul de generare la nivel național rămîne a fi destul de modestă și atinge circa 3 % în anul 2021. Celelalte deșeuri de mase plastice fie sunt înhumate la depozitele de deșeuri autorizate și neautorizate din localități, fie sunt abandonate.</w:t>
            </w:r>
          </w:p>
          <w:p w14:paraId="57330C26" w14:textId="77777777" w:rsidR="005C716C" w:rsidRPr="00BA709E" w:rsidRDefault="005C716C" w:rsidP="005C716C">
            <w:pPr>
              <w:ind w:firstLine="0"/>
              <w:rPr>
                <w:sz w:val="24"/>
                <w:szCs w:val="24"/>
                <w:lang w:val="ro-RO"/>
              </w:rPr>
            </w:pPr>
          </w:p>
          <w:p w14:paraId="5C65FCC6" w14:textId="77777777" w:rsidR="005C716C" w:rsidRPr="00BA709E" w:rsidRDefault="005C716C" w:rsidP="005C716C">
            <w:pPr>
              <w:tabs>
                <w:tab w:val="left" w:pos="709"/>
              </w:tabs>
              <w:suppressAutoHyphens/>
              <w:ind w:firstLine="0"/>
              <w:rPr>
                <w:sz w:val="24"/>
                <w:szCs w:val="24"/>
                <w:lang w:val="ro-RO"/>
              </w:rPr>
            </w:pPr>
            <w:r w:rsidRPr="00BA709E">
              <w:rPr>
                <w:sz w:val="24"/>
                <w:szCs w:val="24"/>
                <w:lang w:val="ro-RO"/>
              </w:rPr>
              <w:t xml:space="preserve">Reciclarea deșeurilor de sticlă este asigurată de 3 operatori economici - companii producătoare de articole de sticlă, fiind totodată și reciclatori finali. Capacitatea de reciclare este utilizată atât pentru propriile deșeuri de producție, cât și pentru alte tipuri de deșeuri de sticlă preluate de la terți, fiind asigurată o rată de reciclare între 42-62%. Gradul de reciclare a deșeurilor de sticlă a  </w:t>
            </w:r>
            <w:r w:rsidRPr="00BA709E">
              <w:rPr>
                <w:sz w:val="24"/>
                <w:szCs w:val="28"/>
                <w:lang w:val="ro-RO"/>
              </w:rPr>
              <w:t xml:space="preserve">fost estimat similar cu cea de mase plastice, fiind bazată pe datele </w:t>
            </w:r>
            <w:hyperlink r:id="rId26" w:history="1">
              <w:r w:rsidRPr="00BA709E">
                <w:rPr>
                  <w:sz w:val="24"/>
                  <w:szCs w:val="28"/>
                  <w:lang w:val="ro-RO"/>
                </w:rPr>
                <w:t>Rapo</w:t>
              </w:r>
              <w:r>
                <w:rPr>
                  <w:sz w:val="24"/>
                  <w:szCs w:val="28"/>
                  <w:lang w:val="ro-RO"/>
                </w:rPr>
                <w:t>rtului Naţional de Inventariere</w:t>
              </w:r>
              <w:r w:rsidRPr="00BA709E">
                <w:rPr>
                  <w:sz w:val="24"/>
                  <w:szCs w:val="28"/>
                  <w:lang w:val="ro-RO"/>
                </w:rPr>
                <w:t xml:space="preserve">: 1990 - </w:t>
              </w:r>
              <w:r w:rsidRPr="00BA709E">
                <w:rPr>
                  <w:sz w:val="24"/>
                  <w:szCs w:val="28"/>
                  <w:lang w:val="ro-RO"/>
                </w:rPr>
                <w:lastRenderedPageBreak/>
                <w:t>2016</w:t>
              </w:r>
            </w:hyperlink>
            <w:r w:rsidRPr="00BA709E">
              <w:rPr>
                <w:sz w:val="24"/>
                <w:szCs w:val="28"/>
                <w:lang w:val="ro-RO"/>
              </w:rPr>
              <w:t>. Surse de emisii și sechestrare a gazelor cu efect de seră în Republica</w:t>
            </w:r>
            <w:r w:rsidRPr="00BA709E">
              <w:rPr>
                <w:sz w:val="24"/>
                <w:szCs w:val="24"/>
                <w:lang w:val="ro-RO"/>
              </w:rPr>
              <w:t xml:space="preserve"> Moldova și rata de generare a deșeurilor de sticlă pe cap de locuitor, care a fost estimată la 10-15 kg/pers/an.</w:t>
            </w:r>
          </w:p>
          <w:p w14:paraId="4F9F1225" w14:textId="77777777" w:rsidR="005C716C" w:rsidRPr="00BA709E" w:rsidRDefault="005C716C" w:rsidP="005C716C">
            <w:pPr>
              <w:pStyle w:val="ab"/>
              <w:jc w:val="right"/>
              <w:rPr>
                <w:rFonts w:cs="Times New Roman"/>
                <w:iCs w:val="0"/>
                <w:sz w:val="28"/>
                <w:lang w:val="ro-RO"/>
              </w:rPr>
            </w:pPr>
            <w:bookmarkStart w:id="0" w:name="_Toc68080826"/>
            <w:bookmarkStart w:id="1" w:name="_Toc68210914"/>
            <w:r w:rsidRPr="00BA709E">
              <w:rPr>
                <w:rFonts w:cs="Times New Roman"/>
                <w:lang w:val="ro-RO"/>
              </w:rPr>
              <w:t xml:space="preserve">Tabelul </w:t>
            </w:r>
            <w:r w:rsidRPr="00BA709E">
              <w:rPr>
                <w:rFonts w:cs="Times New Roman"/>
                <w:lang w:val="ro-RO"/>
              </w:rPr>
              <w:fldChar w:fldCharType="begin"/>
            </w:r>
            <w:r w:rsidRPr="00BA709E">
              <w:rPr>
                <w:rFonts w:cs="Times New Roman"/>
                <w:lang w:val="ro-RO"/>
              </w:rPr>
              <w:instrText xml:space="preserve"> SEQ Tabelul \* ARABIC </w:instrText>
            </w:r>
            <w:r w:rsidRPr="00BA709E">
              <w:rPr>
                <w:rFonts w:cs="Times New Roman"/>
                <w:lang w:val="ro-RO"/>
              </w:rPr>
              <w:fldChar w:fldCharType="separate"/>
            </w:r>
            <w:r w:rsidRPr="00BA709E">
              <w:rPr>
                <w:rFonts w:cs="Times New Roman"/>
                <w:noProof/>
                <w:lang w:val="ro-RO"/>
              </w:rPr>
              <w:t>5</w:t>
            </w:r>
            <w:r w:rsidRPr="00BA709E">
              <w:rPr>
                <w:rFonts w:cs="Times New Roman"/>
                <w:lang w:val="ro-RO"/>
              </w:rPr>
              <w:fldChar w:fldCharType="end"/>
            </w:r>
          </w:p>
          <w:p w14:paraId="2487E398" w14:textId="77777777" w:rsidR="005C716C" w:rsidRPr="0005353F" w:rsidRDefault="005C716C" w:rsidP="005C716C">
            <w:pPr>
              <w:pStyle w:val="ab"/>
              <w:spacing w:after="0"/>
              <w:ind w:firstLine="0"/>
              <w:rPr>
                <w:rFonts w:cs="Times New Roman"/>
                <w:i w:val="0"/>
                <w:iCs w:val="0"/>
                <w:sz w:val="22"/>
                <w:lang w:val="ro-RO"/>
              </w:rPr>
            </w:pPr>
            <w:r w:rsidRPr="0005353F">
              <w:rPr>
                <w:rFonts w:cs="Times New Roman"/>
                <w:i w:val="0"/>
                <w:iCs w:val="0"/>
                <w:sz w:val="22"/>
                <w:lang w:val="ro-RO"/>
              </w:rPr>
              <w:t>Tabelul 2 Estimarea gradului de reciclare a cioburilor de sticlă, 2014-20</w:t>
            </w:r>
            <w:bookmarkEnd w:id="0"/>
            <w:bookmarkEnd w:id="1"/>
            <w:r w:rsidRPr="0005353F">
              <w:rPr>
                <w:rFonts w:cs="Times New Roman"/>
                <w:i w:val="0"/>
                <w:iCs w:val="0"/>
                <w:sz w:val="22"/>
                <w:lang w:val="ro-RO"/>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03"/>
              <w:gridCol w:w="1118"/>
              <w:gridCol w:w="1139"/>
              <w:gridCol w:w="1139"/>
              <w:gridCol w:w="1139"/>
              <w:gridCol w:w="1139"/>
              <w:gridCol w:w="1118"/>
              <w:gridCol w:w="1118"/>
            </w:tblGrid>
            <w:tr w:rsidR="005C716C" w:rsidRPr="00BA709E" w14:paraId="26B850AB" w14:textId="77777777" w:rsidTr="006E0F05">
              <w:trPr>
                <w:trHeight w:val="20"/>
              </w:trPr>
              <w:tc>
                <w:tcPr>
                  <w:tcW w:w="798" w:type="pct"/>
                  <w:shd w:val="clear" w:color="auto" w:fill="BDD6EE"/>
                  <w:tcMar>
                    <w:top w:w="15" w:type="dxa"/>
                    <w:left w:w="15" w:type="dxa"/>
                    <w:bottom w:w="0" w:type="dxa"/>
                    <w:right w:w="15" w:type="dxa"/>
                  </w:tcMar>
                  <w:vAlign w:val="center"/>
                  <w:hideMark/>
                </w:tcPr>
                <w:p w14:paraId="0C330302" w14:textId="77777777" w:rsidR="005C716C" w:rsidRPr="00BA709E" w:rsidRDefault="005C716C" w:rsidP="005C716C">
                  <w:pPr>
                    <w:ind w:firstLine="77"/>
                    <w:contextualSpacing/>
                    <w:jc w:val="center"/>
                    <w:rPr>
                      <w:bCs/>
                      <w:sz w:val="18"/>
                      <w:lang w:val="ro-RO"/>
                    </w:rPr>
                  </w:pPr>
                </w:p>
              </w:tc>
              <w:tc>
                <w:tcPr>
                  <w:tcW w:w="594" w:type="pct"/>
                  <w:shd w:val="clear" w:color="auto" w:fill="BDD6EE"/>
                  <w:vAlign w:val="center"/>
                </w:tcPr>
                <w:p w14:paraId="1C070D77" w14:textId="77777777" w:rsidR="005C716C" w:rsidRPr="00BA709E" w:rsidRDefault="005C716C" w:rsidP="005C716C">
                  <w:pPr>
                    <w:ind w:firstLine="77"/>
                    <w:contextualSpacing/>
                    <w:jc w:val="center"/>
                    <w:rPr>
                      <w:bCs/>
                      <w:sz w:val="18"/>
                      <w:lang w:val="ro-RO"/>
                    </w:rPr>
                  </w:pPr>
                  <w:r w:rsidRPr="00BA709E">
                    <w:rPr>
                      <w:bCs/>
                      <w:sz w:val="18"/>
                      <w:lang w:val="ro-RO"/>
                    </w:rPr>
                    <w:t>2014</w:t>
                  </w:r>
                </w:p>
              </w:tc>
              <w:tc>
                <w:tcPr>
                  <w:tcW w:w="605" w:type="pct"/>
                  <w:shd w:val="clear" w:color="auto" w:fill="BDD6EE"/>
                  <w:tcMar>
                    <w:top w:w="15" w:type="dxa"/>
                    <w:left w:w="15" w:type="dxa"/>
                    <w:bottom w:w="0" w:type="dxa"/>
                    <w:right w:w="15" w:type="dxa"/>
                  </w:tcMar>
                  <w:vAlign w:val="center"/>
                  <w:hideMark/>
                </w:tcPr>
                <w:p w14:paraId="559C4860" w14:textId="77777777" w:rsidR="005C716C" w:rsidRPr="00BA709E" w:rsidRDefault="005C716C" w:rsidP="005C716C">
                  <w:pPr>
                    <w:ind w:firstLine="77"/>
                    <w:contextualSpacing/>
                    <w:jc w:val="center"/>
                    <w:rPr>
                      <w:bCs/>
                      <w:sz w:val="18"/>
                      <w:lang w:val="ro-RO"/>
                    </w:rPr>
                  </w:pPr>
                  <w:r w:rsidRPr="00BA709E">
                    <w:rPr>
                      <w:bCs/>
                      <w:sz w:val="18"/>
                      <w:lang w:val="ro-RO"/>
                    </w:rPr>
                    <w:t>2015</w:t>
                  </w:r>
                </w:p>
              </w:tc>
              <w:tc>
                <w:tcPr>
                  <w:tcW w:w="605" w:type="pct"/>
                  <w:shd w:val="clear" w:color="auto" w:fill="BDD6EE"/>
                  <w:tcMar>
                    <w:top w:w="15" w:type="dxa"/>
                    <w:left w:w="15" w:type="dxa"/>
                    <w:bottom w:w="0" w:type="dxa"/>
                    <w:right w:w="15" w:type="dxa"/>
                  </w:tcMar>
                  <w:vAlign w:val="center"/>
                  <w:hideMark/>
                </w:tcPr>
                <w:p w14:paraId="679162EA" w14:textId="77777777" w:rsidR="005C716C" w:rsidRPr="00BA709E" w:rsidRDefault="005C716C" w:rsidP="005C716C">
                  <w:pPr>
                    <w:ind w:firstLine="77"/>
                    <w:contextualSpacing/>
                    <w:jc w:val="center"/>
                    <w:rPr>
                      <w:bCs/>
                      <w:sz w:val="18"/>
                      <w:lang w:val="ro-RO"/>
                    </w:rPr>
                  </w:pPr>
                  <w:r w:rsidRPr="00BA709E">
                    <w:rPr>
                      <w:bCs/>
                      <w:sz w:val="18"/>
                      <w:lang w:val="ro-RO"/>
                    </w:rPr>
                    <w:t>2016</w:t>
                  </w:r>
                </w:p>
              </w:tc>
              <w:tc>
                <w:tcPr>
                  <w:tcW w:w="605" w:type="pct"/>
                  <w:shd w:val="clear" w:color="auto" w:fill="BDD6EE"/>
                  <w:tcMar>
                    <w:top w:w="15" w:type="dxa"/>
                    <w:left w:w="15" w:type="dxa"/>
                    <w:bottom w:w="0" w:type="dxa"/>
                    <w:right w:w="15" w:type="dxa"/>
                  </w:tcMar>
                  <w:vAlign w:val="center"/>
                  <w:hideMark/>
                </w:tcPr>
                <w:p w14:paraId="4F8C9541" w14:textId="77777777" w:rsidR="005C716C" w:rsidRPr="00BA709E" w:rsidRDefault="005C716C" w:rsidP="005C716C">
                  <w:pPr>
                    <w:ind w:firstLine="77"/>
                    <w:contextualSpacing/>
                    <w:jc w:val="center"/>
                    <w:rPr>
                      <w:bCs/>
                      <w:sz w:val="18"/>
                      <w:lang w:val="ro-RO"/>
                    </w:rPr>
                  </w:pPr>
                  <w:r w:rsidRPr="00BA709E">
                    <w:rPr>
                      <w:bCs/>
                      <w:sz w:val="18"/>
                      <w:lang w:val="ro-RO"/>
                    </w:rPr>
                    <w:t>2017</w:t>
                  </w:r>
                </w:p>
              </w:tc>
              <w:tc>
                <w:tcPr>
                  <w:tcW w:w="605" w:type="pct"/>
                  <w:shd w:val="clear" w:color="auto" w:fill="BDD6EE"/>
                  <w:tcMar>
                    <w:top w:w="15" w:type="dxa"/>
                    <w:left w:w="15" w:type="dxa"/>
                    <w:bottom w:w="0" w:type="dxa"/>
                    <w:right w:w="15" w:type="dxa"/>
                  </w:tcMar>
                  <w:vAlign w:val="center"/>
                  <w:hideMark/>
                </w:tcPr>
                <w:p w14:paraId="5F46CE2E" w14:textId="77777777" w:rsidR="005C716C" w:rsidRPr="00BA709E" w:rsidRDefault="005C716C" w:rsidP="005C716C">
                  <w:pPr>
                    <w:ind w:firstLine="77"/>
                    <w:contextualSpacing/>
                    <w:jc w:val="center"/>
                    <w:rPr>
                      <w:bCs/>
                      <w:sz w:val="18"/>
                      <w:lang w:val="ro-RO"/>
                    </w:rPr>
                  </w:pPr>
                  <w:r w:rsidRPr="00BA709E">
                    <w:rPr>
                      <w:bCs/>
                      <w:sz w:val="18"/>
                      <w:lang w:val="ro-RO"/>
                    </w:rPr>
                    <w:t>2018</w:t>
                  </w:r>
                </w:p>
              </w:tc>
              <w:tc>
                <w:tcPr>
                  <w:tcW w:w="594" w:type="pct"/>
                  <w:shd w:val="clear" w:color="auto" w:fill="BDD6EE"/>
                  <w:vAlign w:val="center"/>
                </w:tcPr>
                <w:p w14:paraId="3A60A64F" w14:textId="77777777" w:rsidR="005C716C" w:rsidRPr="00BA709E" w:rsidRDefault="005C716C" w:rsidP="005C716C">
                  <w:pPr>
                    <w:ind w:firstLine="77"/>
                    <w:contextualSpacing/>
                    <w:jc w:val="center"/>
                    <w:rPr>
                      <w:bCs/>
                      <w:sz w:val="18"/>
                      <w:lang w:val="ro-RO"/>
                    </w:rPr>
                  </w:pPr>
                  <w:r w:rsidRPr="00BA709E">
                    <w:rPr>
                      <w:bCs/>
                      <w:sz w:val="18"/>
                      <w:lang w:val="ro-RO"/>
                    </w:rPr>
                    <w:t>2019</w:t>
                  </w:r>
                </w:p>
              </w:tc>
              <w:tc>
                <w:tcPr>
                  <w:tcW w:w="594" w:type="pct"/>
                  <w:shd w:val="clear" w:color="auto" w:fill="BDD6EE"/>
                  <w:vAlign w:val="center"/>
                </w:tcPr>
                <w:p w14:paraId="28D8F83F" w14:textId="77777777" w:rsidR="005C716C" w:rsidRPr="00BA709E" w:rsidRDefault="005C716C" w:rsidP="005C716C">
                  <w:pPr>
                    <w:ind w:firstLine="77"/>
                    <w:contextualSpacing/>
                    <w:jc w:val="center"/>
                    <w:rPr>
                      <w:bCs/>
                      <w:sz w:val="18"/>
                      <w:lang w:val="ro-RO"/>
                    </w:rPr>
                  </w:pPr>
                  <w:r w:rsidRPr="00BA709E">
                    <w:rPr>
                      <w:bCs/>
                      <w:sz w:val="18"/>
                      <w:lang w:val="ro-RO"/>
                    </w:rPr>
                    <w:t>2021</w:t>
                  </w:r>
                </w:p>
              </w:tc>
            </w:tr>
            <w:tr w:rsidR="005C716C" w:rsidRPr="00BA709E" w14:paraId="02577B13" w14:textId="77777777" w:rsidTr="006E0F05">
              <w:trPr>
                <w:trHeight w:val="20"/>
              </w:trPr>
              <w:tc>
                <w:tcPr>
                  <w:tcW w:w="798" w:type="pct"/>
                  <w:shd w:val="clear" w:color="auto" w:fill="auto"/>
                  <w:tcMar>
                    <w:top w:w="15" w:type="dxa"/>
                    <w:left w:w="15" w:type="dxa"/>
                    <w:bottom w:w="0" w:type="dxa"/>
                    <w:right w:w="15" w:type="dxa"/>
                  </w:tcMar>
                  <w:vAlign w:val="center"/>
                  <w:hideMark/>
                </w:tcPr>
                <w:p w14:paraId="07FB8A6A" w14:textId="77777777" w:rsidR="005C716C" w:rsidRPr="00BA709E" w:rsidRDefault="005C716C" w:rsidP="005C716C">
                  <w:pPr>
                    <w:spacing w:before="120" w:after="120"/>
                    <w:ind w:left="160" w:right="40" w:firstLine="77"/>
                    <w:contextualSpacing/>
                    <w:jc w:val="center"/>
                    <w:rPr>
                      <w:sz w:val="18"/>
                      <w:szCs w:val="24"/>
                      <w:lang w:val="ro-RO" w:eastAsia="ru-RU"/>
                    </w:rPr>
                  </w:pPr>
                  <w:r w:rsidRPr="00BA709E">
                    <w:rPr>
                      <w:sz w:val="18"/>
                      <w:szCs w:val="24"/>
                      <w:lang w:val="ro-RO" w:eastAsia="ru-RU"/>
                    </w:rPr>
                    <w:t>Producere borcane de sticlă,  tone</w:t>
                  </w:r>
                </w:p>
              </w:tc>
              <w:tc>
                <w:tcPr>
                  <w:tcW w:w="594" w:type="pct"/>
                  <w:shd w:val="clear" w:color="auto" w:fill="auto"/>
                  <w:tcMar>
                    <w:top w:w="15" w:type="dxa"/>
                    <w:left w:w="15" w:type="dxa"/>
                    <w:bottom w:w="0" w:type="dxa"/>
                    <w:right w:w="15" w:type="dxa"/>
                  </w:tcMar>
                  <w:vAlign w:val="center"/>
                </w:tcPr>
                <w:p w14:paraId="57F9B343"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117661,2</w:t>
                  </w:r>
                </w:p>
              </w:tc>
              <w:tc>
                <w:tcPr>
                  <w:tcW w:w="605" w:type="pct"/>
                  <w:shd w:val="clear" w:color="auto" w:fill="auto"/>
                  <w:tcMar>
                    <w:top w:w="15" w:type="dxa"/>
                    <w:left w:w="15" w:type="dxa"/>
                    <w:bottom w:w="0" w:type="dxa"/>
                    <w:right w:w="15" w:type="dxa"/>
                  </w:tcMar>
                  <w:vAlign w:val="center"/>
                </w:tcPr>
                <w:p w14:paraId="215EF85E"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151500</w:t>
                  </w:r>
                </w:p>
              </w:tc>
              <w:tc>
                <w:tcPr>
                  <w:tcW w:w="605" w:type="pct"/>
                  <w:shd w:val="clear" w:color="auto" w:fill="auto"/>
                  <w:tcMar>
                    <w:top w:w="15" w:type="dxa"/>
                    <w:left w:w="15" w:type="dxa"/>
                    <w:bottom w:w="0" w:type="dxa"/>
                    <w:right w:w="15" w:type="dxa"/>
                  </w:tcMar>
                  <w:vAlign w:val="center"/>
                </w:tcPr>
                <w:p w14:paraId="536AFE9F"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159500</w:t>
                  </w:r>
                </w:p>
              </w:tc>
              <w:tc>
                <w:tcPr>
                  <w:tcW w:w="605" w:type="pct"/>
                  <w:shd w:val="clear" w:color="auto" w:fill="auto"/>
                  <w:tcMar>
                    <w:top w:w="15" w:type="dxa"/>
                    <w:left w:w="15" w:type="dxa"/>
                    <w:bottom w:w="0" w:type="dxa"/>
                    <w:right w:w="15" w:type="dxa"/>
                  </w:tcMar>
                  <w:vAlign w:val="center"/>
                </w:tcPr>
                <w:p w14:paraId="4AB6F6BF"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147558,3</w:t>
                  </w:r>
                </w:p>
              </w:tc>
              <w:tc>
                <w:tcPr>
                  <w:tcW w:w="605" w:type="pct"/>
                  <w:shd w:val="clear" w:color="auto" w:fill="auto"/>
                  <w:tcMar>
                    <w:top w:w="15" w:type="dxa"/>
                    <w:left w:w="15" w:type="dxa"/>
                    <w:bottom w:w="0" w:type="dxa"/>
                    <w:right w:w="15" w:type="dxa"/>
                  </w:tcMar>
                  <w:vAlign w:val="center"/>
                </w:tcPr>
                <w:p w14:paraId="6824E72F"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183505,5</w:t>
                  </w:r>
                </w:p>
              </w:tc>
              <w:tc>
                <w:tcPr>
                  <w:tcW w:w="594" w:type="pct"/>
                  <w:vAlign w:val="center"/>
                </w:tcPr>
                <w:p w14:paraId="6AC5E232"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165729,2</w:t>
                  </w:r>
                </w:p>
              </w:tc>
              <w:tc>
                <w:tcPr>
                  <w:tcW w:w="594" w:type="pct"/>
                  <w:vAlign w:val="center"/>
                </w:tcPr>
                <w:p w14:paraId="44837620" w14:textId="77777777" w:rsidR="005C716C" w:rsidRPr="00BA709E" w:rsidRDefault="005C716C" w:rsidP="005C716C">
                  <w:pPr>
                    <w:spacing w:before="120" w:after="120"/>
                    <w:ind w:left="70" w:right="40" w:firstLine="77"/>
                    <w:contextualSpacing/>
                    <w:jc w:val="center"/>
                    <w:rPr>
                      <w:sz w:val="18"/>
                      <w:szCs w:val="24"/>
                      <w:lang w:val="ro-RO" w:eastAsia="ru-RU"/>
                    </w:rPr>
                  </w:pPr>
                </w:p>
              </w:tc>
            </w:tr>
            <w:tr w:rsidR="005C716C" w:rsidRPr="00BA709E" w14:paraId="27AAD4C1" w14:textId="77777777" w:rsidTr="006E0F05">
              <w:trPr>
                <w:trHeight w:val="20"/>
              </w:trPr>
              <w:tc>
                <w:tcPr>
                  <w:tcW w:w="798" w:type="pct"/>
                  <w:shd w:val="clear" w:color="auto" w:fill="auto"/>
                  <w:tcMar>
                    <w:top w:w="15" w:type="dxa"/>
                    <w:left w:w="15" w:type="dxa"/>
                    <w:bottom w:w="0" w:type="dxa"/>
                    <w:right w:w="15" w:type="dxa"/>
                  </w:tcMar>
                  <w:vAlign w:val="center"/>
                  <w:hideMark/>
                </w:tcPr>
                <w:p w14:paraId="71194C62" w14:textId="77777777" w:rsidR="005C716C" w:rsidRPr="00BA709E" w:rsidRDefault="005C716C" w:rsidP="005C716C">
                  <w:pPr>
                    <w:spacing w:before="120" w:after="120"/>
                    <w:ind w:left="160" w:right="40" w:firstLine="77"/>
                    <w:contextualSpacing/>
                    <w:jc w:val="center"/>
                    <w:rPr>
                      <w:sz w:val="18"/>
                      <w:szCs w:val="24"/>
                      <w:lang w:val="ro-RO" w:eastAsia="ru-RU"/>
                    </w:rPr>
                  </w:pPr>
                  <w:r w:rsidRPr="00BA709E">
                    <w:rPr>
                      <w:sz w:val="18"/>
                      <w:szCs w:val="24"/>
                      <w:lang w:val="ro-RO" w:eastAsia="ru-RU"/>
                    </w:rPr>
                    <w:t>Cioburi de sticlă utilizate, tone</w:t>
                  </w:r>
                </w:p>
              </w:tc>
              <w:tc>
                <w:tcPr>
                  <w:tcW w:w="594" w:type="pct"/>
                  <w:shd w:val="clear" w:color="auto" w:fill="auto"/>
                  <w:tcMar>
                    <w:top w:w="15" w:type="dxa"/>
                    <w:left w:w="15" w:type="dxa"/>
                    <w:bottom w:w="0" w:type="dxa"/>
                    <w:right w:w="15" w:type="dxa"/>
                  </w:tcMar>
                  <w:vAlign w:val="center"/>
                  <w:hideMark/>
                </w:tcPr>
                <w:p w14:paraId="72944C8D"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26962,4</w:t>
                  </w:r>
                </w:p>
              </w:tc>
              <w:tc>
                <w:tcPr>
                  <w:tcW w:w="605" w:type="pct"/>
                  <w:shd w:val="clear" w:color="auto" w:fill="auto"/>
                  <w:tcMar>
                    <w:top w:w="15" w:type="dxa"/>
                    <w:left w:w="15" w:type="dxa"/>
                    <w:bottom w:w="0" w:type="dxa"/>
                    <w:right w:w="15" w:type="dxa"/>
                  </w:tcMar>
                  <w:vAlign w:val="center"/>
                  <w:hideMark/>
                </w:tcPr>
                <w:p w14:paraId="3E49C538"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28711,6</w:t>
                  </w:r>
                </w:p>
              </w:tc>
              <w:tc>
                <w:tcPr>
                  <w:tcW w:w="605" w:type="pct"/>
                  <w:shd w:val="clear" w:color="auto" w:fill="auto"/>
                  <w:tcMar>
                    <w:top w:w="15" w:type="dxa"/>
                    <w:left w:w="15" w:type="dxa"/>
                    <w:bottom w:w="0" w:type="dxa"/>
                    <w:right w:w="15" w:type="dxa"/>
                  </w:tcMar>
                  <w:vAlign w:val="center"/>
                  <w:hideMark/>
                </w:tcPr>
                <w:p w14:paraId="2F1FC2E5"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18672,8</w:t>
                  </w:r>
                </w:p>
              </w:tc>
              <w:tc>
                <w:tcPr>
                  <w:tcW w:w="605" w:type="pct"/>
                  <w:shd w:val="clear" w:color="auto" w:fill="auto"/>
                  <w:tcMar>
                    <w:top w:w="15" w:type="dxa"/>
                    <w:left w:w="15" w:type="dxa"/>
                    <w:bottom w:w="0" w:type="dxa"/>
                    <w:right w:w="15" w:type="dxa"/>
                  </w:tcMar>
                  <w:vAlign w:val="center"/>
                  <w:hideMark/>
                </w:tcPr>
                <w:p w14:paraId="7084A4F4"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18223,6</w:t>
                  </w:r>
                </w:p>
              </w:tc>
              <w:tc>
                <w:tcPr>
                  <w:tcW w:w="605" w:type="pct"/>
                  <w:shd w:val="clear" w:color="auto" w:fill="auto"/>
                  <w:tcMar>
                    <w:top w:w="15" w:type="dxa"/>
                    <w:left w:w="15" w:type="dxa"/>
                    <w:bottom w:w="0" w:type="dxa"/>
                    <w:right w:w="15" w:type="dxa"/>
                  </w:tcMar>
                  <w:vAlign w:val="center"/>
                  <w:hideMark/>
                </w:tcPr>
                <w:p w14:paraId="2BB915B6"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20732,4</w:t>
                  </w:r>
                </w:p>
              </w:tc>
              <w:tc>
                <w:tcPr>
                  <w:tcW w:w="594" w:type="pct"/>
                  <w:vAlign w:val="center"/>
                </w:tcPr>
                <w:p w14:paraId="76829E56"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23291,7</w:t>
                  </w:r>
                </w:p>
              </w:tc>
              <w:tc>
                <w:tcPr>
                  <w:tcW w:w="594" w:type="pct"/>
                  <w:vAlign w:val="center"/>
                </w:tcPr>
                <w:p w14:paraId="0C01446E" w14:textId="77777777" w:rsidR="005C716C" w:rsidRPr="00BA709E" w:rsidRDefault="005C716C" w:rsidP="005C716C">
                  <w:pPr>
                    <w:spacing w:before="120" w:after="120"/>
                    <w:ind w:left="70" w:right="40" w:firstLine="77"/>
                    <w:contextualSpacing/>
                    <w:jc w:val="center"/>
                    <w:rPr>
                      <w:sz w:val="18"/>
                      <w:szCs w:val="24"/>
                      <w:lang w:val="ro-RO" w:eastAsia="ru-RU"/>
                    </w:rPr>
                  </w:pPr>
                  <w:r w:rsidRPr="00BA709E">
                    <w:rPr>
                      <w:sz w:val="18"/>
                      <w:szCs w:val="24"/>
                      <w:lang w:val="ro-RO" w:eastAsia="ru-RU"/>
                    </w:rPr>
                    <w:t>13000</w:t>
                  </w:r>
                </w:p>
              </w:tc>
            </w:tr>
            <w:tr w:rsidR="005C716C" w:rsidRPr="00BA709E" w14:paraId="5921552F" w14:textId="77777777" w:rsidTr="006E0F05">
              <w:trPr>
                <w:trHeight w:val="20"/>
              </w:trPr>
              <w:tc>
                <w:tcPr>
                  <w:tcW w:w="798" w:type="pct"/>
                  <w:shd w:val="clear" w:color="auto" w:fill="auto"/>
                  <w:tcMar>
                    <w:top w:w="15" w:type="dxa"/>
                    <w:left w:w="15" w:type="dxa"/>
                    <w:bottom w:w="0" w:type="dxa"/>
                    <w:right w:w="15" w:type="dxa"/>
                  </w:tcMar>
                  <w:vAlign w:val="center"/>
                  <w:hideMark/>
                </w:tcPr>
                <w:p w14:paraId="5FB0AAB5" w14:textId="77777777" w:rsidR="005C716C" w:rsidRPr="00BA709E" w:rsidRDefault="005C716C" w:rsidP="005C716C">
                  <w:pPr>
                    <w:spacing w:before="120" w:after="120"/>
                    <w:ind w:left="160" w:hanging="20"/>
                    <w:contextualSpacing/>
                    <w:jc w:val="center"/>
                    <w:rPr>
                      <w:sz w:val="18"/>
                      <w:szCs w:val="24"/>
                      <w:lang w:val="ro-RO" w:eastAsia="ru-RU"/>
                    </w:rPr>
                  </w:pPr>
                  <w:r w:rsidRPr="00BA709E">
                    <w:rPr>
                      <w:sz w:val="18"/>
                      <w:szCs w:val="24"/>
                      <w:lang w:val="ro-RO" w:eastAsia="ru-RU"/>
                    </w:rPr>
                    <w:t>Producere borcane de sticlă,  tone</w:t>
                  </w:r>
                </w:p>
              </w:tc>
              <w:tc>
                <w:tcPr>
                  <w:tcW w:w="594" w:type="pct"/>
                  <w:shd w:val="clear" w:color="auto" w:fill="auto"/>
                  <w:tcMar>
                    <w:top w:w="15" w:type="dxa"/>
                    <w:left w:w="15" w:type="dxa"/>
                    <w:bottom w:w="0" w:type="dxa"/>
                    <w:right w:w="15" w:type="dxa"/>
                  </w:tcMar>
                  <w:vAlign w:val="center"/>
                  <w:hideMark/>
                </w:tcPr>
                <w:p w14:paraId="1791BD3F"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szCs w:val="24"/>
                      <w:lang w:val="ro-RO" w:eastAsia="ru-RU"/>
                    </w:rPr>
                    <w:t>117661,2</w:t>
                  </w:r>
                </w:p>
              </w:tc>
              <w:tc>
                <w:tcPr>
                  <w:tcW w:w="605" w:type="pct"/>
                  <w:shd w:val="clear" w:color="auto" w:fill="auto"/>
                  <w:tcMar>
                    <w:top w:w="15" w:type="dxa"/>
                    <w:left w:w="15" w:type="dxa"/>
                    <w:bottom w:w="0" w:type="dxa"/>
                    <w:right w:w="15" w:type="dxa"/>
                  </w:tcMar>
                  <w:vAlign w:val="center"/>
                  <w:hideMark/>
                </w:tcPr>
                <w:p w14:paraId="4D15C50C"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szCs w:val="24"/>
                      <w:lang w:val="ro-RO" w:eastAsia="ru-RU"/>
                    </w:rPr>
                    <w:t>151500</w:t>
                  </w:r>
                </w:p>
              </w:tc>
              <w:tc>
                <w:tcPr>
                  <w:tcW w:w="605" w:type="pct"/>
                  <w:shd w:val="clear" w:color="auto" w:fill="auto"/>
                  <w:tcMar>
                    <w:top w:w="15" w:type="dxa"/>
                    <w:left w:w="15" w:type="dxa"/>
                    <w:bottom w:w="0" w:type="dxa"/>
                    <w:right w:w="15" w:type="dxa"/>
                  </w:tcMar>
                  <w:vAlign w:val="center"/>
                  <w:hideMark/>
                </w:tcPr>
                <w:p w14:paraId="573528D0"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szCs w:val="24"/>
                      <w:lang w:val="ro-RO" w:eastAsia="ru-RU"/>
                    </w:rPr>
                    <w:t>159500</w:t>
                  </w:r>
                </w:p>
              </w:tc>
              <w:tc>
                <w:tcPr>
                  <w:tcW w:w="605" w:type="pct"/>
                  <w:shd w:val="clear" w:color="auto" w:fill="auto"/>
                  <w:tcMar>
                    <w:top w:w="15" w:type="dxa"/>
                    <w:left w:w="15" w:type="dxa"/>
                    <w:bottom w:w="0" w:type="dxa"/>
                    <w:right w:w="15" w:type="dxa"/>
                  </w:tcMar>
                  <w:vAlign w:val="center"/>
                  <w:hideMark/>
                </w:tcPr>
                <w:p w14:paraId="2D6B8A08"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szCs w:val="24"/>
                      <w:lang w:val="ro-RO" w:eastAsia="ru-RU"/>
                    </w:rPr>
                    <w:t>147558,3</w:t>
                  </w:r>
                </w:p>
              </w:tc>
              <w:tc>
                <w:tcPr>
                  <w:tcW w:w="605" w:type="pct"/>
                  <w:shd w:val="clear" w:color="auto" w:fill="auto"/>
                  <w:tcMar>
                    <w:top w:w="15" w:type="dxa"/>
                    <w:left w:w="15" w:type="dxa"/>
                    <w:bottom w:w="0" w:type="dxa"/>
                    <w:right w:w="15" w:type="dxa"/>
                  </w:tcMar>
                  <w:vAlign w:val="center"/>
                  <w:hideMark/>
                </w:tcPr>
                <w:p w14:paraId="119B1FEA"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szCs w:val="24"/>
                      <w:lang w:val="ro-RO" w:eastAsia="ru-RU"/>
                    </w:rPr>
                    <w:t>183505,5</w:t>
                  </w:r>
                </w:p>
              </w:tc>
              <w:tc>
                <w:tcPr>
                  <w:tcW w:w="594" w:type="pct"/>
                  <w:vAlign w:val="center"/>
                </w:tcPr>
                <w:p w14:paraId="072400AB"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szCs w:val="24"/>
                      <w:lang w:val="ro-RO" w:eastAsia="ru-RU"/>
                    </w:rPr>
                    <w:t>165729,2</w:t>
                  </w:r>
                </w:p>
              </w:tc>
              <w:tc>
                <w:tcPr>
                  <w:tcW w:w="594" w:type="pct"/>
                  <w:vAlign w:val="center"/>
                </w:tcPr>
                <w:p w14:paraId="0B3A5D7E" w14:textId="77777777" w:rsidR="005C716C" w:rsidRPr="00BA709E" w:rsidRDefault="005C716C" w:rsidP="005C716C">
                  <w:pPr>
                    <w:spacing w:before="120" w:after="120"/>
                    <w:ind w:left="70" w:right="40" w:firstLine="70"/>
                    <w:contextualSpacing/>
                    <w:jc w:val="center"/>
                    <w:rPr>
                      <w:sz w:val="18"/>
                      <w:szCs w:val="24"/>
                      <w:lang w:val="ro-RO" w:eastAsia="ru-RU"/>
                    </w:rPr>
                  </w:pPr>
                </w:p>
              </w:tc>
            </w:tr>
            <w:tr w:rsidR="005C716C" w:rsidRPr="00BA709E" w14:paraId="4684A158" w14:textId="77777777" w:rsidTr="006E0F05">
              <w:trPr>
                <w:trHeight w:val="20"/>
              </w:trPr>
              <w:tc>
                <w:tcPr>
                  <w:tcW w:w="798" w:type="pct"/>
                  <w:shd w:val="clear" w:color="auto" w:fill="auto"/>
                  <w:tcMar>
                    <w:top w:w="15" w:type="dxa"/>
                    <w:left w:w="15" w:type="dxa"/>
                    <w:bottom w:w="0" w:type="dxa"/>
                    <w:right w:w="15" w:type="dxa"/>
                  </w:tcMar>
                  <w:vAlign w:val="center"/>
                </w:tcPr>
                <w:p w14:paraId="6ECDBE91" w14:textId="77777777" w:rsidR="005C716C" w:rsidRPr="00BA709E" w:rsidRDefault="005C716C" w:rsidP="005C716C">
                  <w:pPr>
                    <w:spacing w:before="120" w:after="120"/>
                    <w:ind w:left="160" w:right="40" w:hanging="20"/>
                    <w:contextualSpacing/>
                    <w:jc w:val="center"/>
                    <w:rPr>
                      <w:sz w:val="18"/>
                      <w:szCs w:val="24"/>
                      <w:lang w:val="ro-RO" w:eastAsia="ru-RU"/>
                    </w:rPr>
                  </w:pPr>
                  <w:r w:rsidRPr="00BA709E">
                    <w:rPr>
                      <w:sz w:val="18"/>
                      <w:szCs w:val="24"/>
                      <w:lang w:val="ro-RO" w:eastAsia="ru-RU"/>
                    </w:rPr>
                    <w:t>Cantitatea generată în țară, pe bază ratei de generare/pers/an</w:t>
                  </w:r>
                </w:p>
              </w:tc>
              <w:tc>
                <w:tcPr>
                  <w:tcW w:w="594" w:type="pct"/>
                  <w:shd w:val="clear" w:color="auto" w:fill="auto"/>
                  <w:tcMar>
                    <w:top w:w="15" w:type="dxa"/>
                    <w:left w:w="15" w:type="dxa"/>
                    <w:bottom w:w="0" w:type="dxa"/>
                    <w:right w:w="15" w:type="dxa"/>
                  </w:tcMar>
                  <w:vAlign w:val="center"/>
                </w:tcPr>
                <w:p w14:paraId="6614C05A"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43038,39</w:t>
                  </w:r>
                </w:p>
              </w:tc>
              <w:tc>
                <w:tcPr>
                  <w:tcW w:w="605" w:type="pct"/>
                  <w:shd w:val="clear" w:color="auto" w:fill="auto"/>
                  <w:tcMar>
                    <w:top w:w="15" w:type="dxa"/>
                    <w:left w:w="15" w:type="dxa"/>
                    <w:bottom w:w="0" w:type="dxa"/>
                    <w:right w:w="15" w:type="dxa"/>
                  </w:tcMar>
                  <w:vAlign w:val="center"/>
                </w:tcPr>
                <w:p w14:paraId="45242A51"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42670,10</w:t>
                  </w:r>
                </w:p>
              </w:tc>
              <w:tc>
                <w:tcPr>
                  <w:tcW w:w="605" w:type="pct"/>
                  <w:shd w:val="clear" w:color="auto" w:fill="auto"/>
                  <w:tcMar>
                    <w:top w:w="15" w:type="dxa"/>
                    <w:left w:w="15" w:type="dxa"/>
                    <w:bottom w:w="0" w:type="dxa"/>
                    <w:right w:w="15" w:type="dxa"/>
                  </w:tcMar>
                  <w:vAlign w:val="center"/>
                </w:tcPr>
                <w:p w14:paraId="1778354D"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42365,81</w:t>
                  </w:r>
                </w:p>
              </w:tc>
              <w:tc>
                <w:tcPr>
                  <w:tcW w:w="605" w:type="pct"/>
                  <w:shd w:val="clear" w:color="auto" w:fill="auto"/>
                  <w:tcMar>
                    <w:top w:w="15" w:type="dxa"/>
                    <w:left w:w="15" w:type="dxa"/>
                    <w:bottom w:w="0" w:type="dxa"/>
                    <w:right w:w="15" w:type="dxa"/>
                  </w:tcMar>
                  <w:vAlign w:val="center"/>
                </w:tcPr>
                <w:p w14:paraId="79A19692"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41699,28</w:t>
                  </w:r>
                </w:p>
              </w:tc>
              <w:tc>
                <w:tcPr>
                  <w:tcW w:w="605" w:type="pct"/>
                  <w:shd w:val="clear" w:color="auto" w:fill="auto"/>
                  <w:tcMar>
                    <w:top w:w="15" w:type="dxa"/>
                    <w:left w:w="15" w:type="dxa"/>
                    <w:bottom w:w="0" w:type="dxa"/>
                    <w:right w:w="15" w:type="dxa"/>
                  </w:tcMar>
                  <w:vAlign w:val="center"/>
                </w:tcPr>
                <w:p w14:paraId="471A69CE"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40955,46</w:t>
                  </w:r>
                </w:p>
              </w:tc>
              <w:tc>
                <w:tcPr>
                  <w:tcW w:w="594" w:type="pct"/>
                  <w:vAlign w:val="center"/>
                </w:tcPr>
                <w:p w14:paraId="5B59ECF6"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40290,96</w:t>
                  </w:r>
                </w:p>
              </w:tc>
              <w:tc>
                <w:tcPr>
                  <w:tcW w:w="594" w:type="pct"/>
                  <w:vAlign w:val="center"/>
                </w:tcPr>
                <w:p w14:paraId="23E46D24" w14:textId="77777777" w:rsidR="005C716C" w:rsidRPr="00BA709E" w:rsidRDefault="005C716C" w:rsidP="005C716C">
                  <w:pPr>
                    <w:spacing w:before="120" w:after="120"/>
                    <w:ind w:left="70" w:right="40" w:firstLine="70"/>
                    <w:contextualSpacing/>
                    <w:jc w:val="center"/>
                    <w:rPr>
                      <w:sz w:val="18"/>
                      <w:lang w:val="ro-RO"/>
                    </w:rPr>
                  </w:pPr>
                  <w:r w:rsidRPr="00BA709E">
                    <w:rPr>
                      <w:sz w:val="18"/>
                      <w:lang w:val="ro-RO"/>
                    </w:rPr>
                    <w:t>39398,78</w:t>
                  </w:r>
                </w:p>
                <w:p w14:paraId="0D3BB468" w14:textId="77777777" w:rsidR="005C716C" w:rsidRPr="00BA709E" w:rsidRDefault="005C716C" w:rsidP="005C716C">
                  <w:pPr>
                    <w:spacing w:before="120" w:after="120"/>
                    <w:ind w:left="70" w:right="40" w:firstLine="70"/>
                    <w:contextualSpacing/>
                    <w:jc w:val="center"/>
                    <w:rPr>
                      <w:sz w:val="18"/>
                      <w:lang w:val="ro-RO"/>
                    </w:rPr>
                  </w:pPr>
                </w:p>
              </w:tc>
            </w:tr>
            <w:tr w:rsidR="005C716C" w:rsidRPr="00BA709E" w14:paraId="36E46E84" w14:textId="77777777" w:rsidTr="006E0F05">
              <w:trPr>
                <w:trHeight w:val="20"/>
              </w:trPr>
              <w:tc>
                <w:tcPr>
                  <w:tcW w:w="798" w:type="pct"/>
                  <w:shd w:val="clear" w:color="auto" w:fill="auto"/>
                  <w:tcMar>
                    <w:top w:w="15" w:type="dxa"/>
                    <w:left w:w="15" w:type="dxa"/>
                    <w:bottom w:w="0" w:type="dxa"/>
                    <w:right w:w="15" w:type="dxa"/>
                  </w:tcMar>
                  <w:vAlign w:val="center"/>
                </w:tcPr>
                <w:p w14:paraId="692E8336" w14:textId="77777777" w:rsidR="005C716C" w:rsidRPr="00BA709E" w:rsidRDefault="005C716C" w:rsidP="005C716C">
                  <w:pPr>
                    <w:spacing w:before="120" w:after="120"/>
                    <w:ind w:left="160" w:right="40" w:hanging="20"/>
                    <w:contextualSpacing/>
                    <w:jc w:val="center"/>
                    <w:rPr>
                      <w:sz w:val="18"/>
                      <w:szCs w:val="24"/>
                      <w:lang w:val="ro-RO" w:eastAsia="ru-RU"/>
                    </w:rPr>
                  </w:pPr>
                  <w:r w:rsidRPr="00BA709E">
                    <w:rPr>
                      <w:sz w:val="18"/>
                      <w:szCs w:val="24"/>
                      <w:lang w:val="ro-RO" w:eastAsia="ru-RU"/>
                    </w:rPr>
                    <w:t>Rata deșeurilor reciclate, %</w:t>
                  </w:r>
                </w:p>
              </w:tc>
              <w:tc>
                <w:tcPr>
                  <w:tcW w:w="594" w:type="pct"/>
                  <w:shd w:val="clear" w:color="auto" w:fill="auto"/>
                  <w:tcMar>
                    <w:top w:w="15" w:type="dxa"/>
                    <w:left w:w="15" w:type="dxa"/>
                    <w:bottom w:w="0" w:type="dxa"/>
                    <w:right w:w="15" w:type="dxa"/>
                  </w:tcMar>
                  <w:vAlign w:val="center"/>
                </w:tcPr>
                <w:p w14:paraId="386C8B14"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62,64</w:t>
                  </w:r>
                </w:p>
              </w:tc>
              <w:tc>
                <w:tcPr>
                  <w:tcW w:w="605" w:type="pct"/>
                  <w:shd w:val="clear" w:color="auto" w:fill="auto"/>
                  <w:tcMar>
                    <w:top w:w="15" w:type="dxa"/>
                    <w:left w:w="15" w:type="dxa"/>
                    <w:bottom w:w="0" w:type="dxa"/>
                    <w:right w:w="15" w:type="dxa"/>
                  </w:tcMar>
                  <w:vAlign w:val="center"/>
                </w:tcPr>
                <w:p w14:paraId="37205DA6"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66,98</w:t>
                  </w:r>
                </w:p>
              </w:tc>
              <w:tc>
                <w:tcPr>
                  <w:tcW w:w="605" w:type="pct"/>
                  <w:shd w:val="clear" w:color="auto" w:fill="auto"/>
                  <w:tcMar>
                    <w:top w:w="15" w:type="dxa"/>
                    <w:left w:w="15" w:type="dxa"/>
                    <w:bottom w:w="0" w:type="dxa"/>
                    <w:right w:w="15" w:type="dxa"/>
                  </w:tcMar>
                  <w:vAlign w:val="center"/>
                </w:tcPr>
                <w:p w14:paraId="6FB58BE8"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33,79</w:t>
                  </w:r>
                </w:p>
              </w:tc>
              <w:tc>
                <w:tcPr>
                  <w:tcW w:w="605" w:type="pct"/>
                  <w:shd w:val="clear" w:color="auto" w:fill="auto"/>
                  <w:tcMar>
                    <w:top w:w="15" w:type="dxa"/>
                    <w:left w:w="15" w:type="dxa"/>
                    <w:bottom w:w="0" w:type="dxa"/>
                    <w:right w:w="15" w:type="dxa"/>
                  </w:tcMar>
                  <w:vAlign w:val="center"/>
                </w:tcPr>
                <w:p w14:paraId="22C544FC"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30,41</w:t>
                  </w:r>
                </w:p>
              </w:tc>
              <w:tc>
                <w:tcPr>
                  <w:tcW w:w="605" w:type="pct"/>
                  <w:shd w:val="clear" w:color="auto" w:fill="auto"/>
                  <w:tcMar>
                    <w:top w:w="15" w:type="dxa"/>
                    <w:left w:w="15" w:type="dxa"/>
                    <w:bottom w:w="0" w:type="dxa"/>
                    <w:right w:w="15" w:type="dxa"/>
                  </w:tcMar>
                  <w:vAlign w:val="center"/>
                </w:tcPr>
                <w:p w14:paraId="04F43B36"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35,12</w:t>
                  </w:r>
                </w:p>
              </w:tc>
              <w:tc>
                <w:tcPr>
                  <w:tcW w:w="594" w:type="pct"/>
                  <w:vAlign w:val="center"/>
                </w:tcPr>
                <w:p w14:paraId="28903AEB" w14:textId="77777777" w:rsidR="005C716C" w:rsidRPr="00BA709E" w:rsidRDefault="005C716C" w:rsidP="005C716C">
                  <w:pPr>
                    <w:spacing w:before="120" w:after="120"/>
                    <w:ind w:left="70" w:right="40" w:firstLine="70"/>
                    <w:contextualSpacing/>
                    <w:jc w:val="center"/>
                    <w:rPr>
                      <w:sz w:val="18"/>
                      <w:szCs w:val="24"/>
                      <w:lang w:val="ro-RO" w:eastAsia="ru-RU"/>
                    </w:rPr>
                  </w:pPr>
                  <w:r w:rsidRPr="00BA709E">
                    <w:rPr>
                      <w:sz w:val="18"/>
                      <w:lang w:val="ro-RO"/>
                    </w:rPr>
                    <w:t>41,51</w:t>
                  </w:r>
                </w:p>
              </w:tc>
              <w:tc>
                <w:tcPr>
                  <w:tcW w:w="594" w:type="pct"/>
                  <w:vAlign w:val="center"/>
                </w:tcPr>
                <w:p w14:paraId="40311AF8" w14:textId="77777777" w:rsidR="005C716C" w:rsidRPr="00BA709E" w:rsidRDefault="005C716C" w:rsidP="005C716C">
                  <w:pPr>
                    <w:spacing w:before="120" w:after="120"/>
                    <w:ind w:left="70" w:right="40" w:firstLine="70"/>
                    <w:contextualSpacing/>
                    <w:jc w:val="center"/>
                    <w:rPr>
                      <w:sz w:val="18"/>
                      <w:lang w:val="ro-RO"/>
                    </w:rPr>
                  </w:pPr>
                  <w:r w:rsidRPr="00BA709E">
                    <w:rPr>
                      <w:sz w:val="18"/>
                      <w:lang w:val="ro-RO"/>
                    </w:rPr>
                    <w:t>33</w:t>
                  </w:r>
                </w:p>
              </w:tc>
            </w:tr>
          </w:tbl>
          <w:p w14:paraId="7470904C" w14:textId="77777777" w:rsidR="005C716C" w:rsidRPr="00BA709E" w:rsidRDefault="005C716C" w:rsidP="005C716C">
            <w:pPr>
              <w:rPr>
                <w:bCs/>
                <w:szCs w:val="24"/>
                <w:lang w:val="ro-RO"/>
              </w:rPr>
            </w:pPr>
            <w:r w:rsidRPr="00BA709E">
              <w:rPr>
                <w:b/>
                <w:lang w:val="ro-RO"/>
              </w:rPr>
              <w:t>Sursa:</w:t>
            </w:r>
            <w:r w:rsidRPr="00BA709E">
              <w:rPr>
                <w:b/>
                <w:bCs/>
                <w:lang w:val="ro-RO"/>
              </w:rPr>
              <w:t xml:space="preserve"> </w:t>
            </w:r>
            <w:r w:rsidRPr="00BA709E">
              <w:rPr>
                <w:bCs/>
                <w:lang w:val="ro-RO"/>
              </w:rPr>
              <w:t>În baza</w:t>
            </w:r>
            <w:r w:rsidRPr="00BA709E">
              <w:rPr>
                <w:b/>
                <w:bCs/>
                <w:lang w:val="ro-RO"/>
              </w:rPr>
              <w:t xml:space="preserve"> </w:t>
            </w:r>
            <w:r w:rsidRPr="00BA709E">
              <w:rPr>
                <w:bCs/>
                <w:lang w:val="ro-RO"/>
              </w:rPr>
              <w:t xml:space="preserve">datelor IPM și a calculelor grupului de autori PNGD și </w:t>
            </w:r>
            <w:hyperlink r:id="rId27" w:history="1">
              <w:r w:rsidRPr="00BA709E">
                <w:rPr>
                  <w:rStyle w:val="a4"/>
                  <w:lang w:val="ro-RO"/>
                </w:rPr>
                <w:t>http://clima.md/doc.php?l=ro&amp;idc=81&amp;id=4256</w:t>
              </w:r>
            </w:hyperlink>
            <w:r w:rsidRPr="00BA709E">
              <w:rPr>
                <w:rStyle w:val="a4"/>
                <w:lang w:val="ro-RO"/>
              </w:rPr>
              <w:t>.</w:t>
            </w:r>
            <w:r w:rsidRPr="00BA709E">
              <w:rPr>
                <w:bCs/>
                <w:szCs w:val="24"/>
                <w:lang w:val="ro-RO"/>
              </w:rPr>
              <w:t xml:space="preserve"> </w:t>
            </w:r>
          </w:p>
          <w:p w14:paraId="1D5CA55A" w14:textId="77777777" w:rsidR="005C716C" w:rsidRPr="00BA709E" w:rsidRDefault="005C716C" w:rsidP="005C716C">
            <w:pPr>
              <w:ind w:firstLine="0"/>
              <w:rPr>
                <w:sz w:val="24"/>
                <w:szCs w:val="24"/>
                <w:lang w:val="ro-RO"/>
              </w:rPr>
            </w:pPr>
          </w:p>
          <w:p w14:paraId="06403D59" w14:textId="77777777" w:rsidR="005C716C" w:rsidRDefault="005C716C" w:rsidP="005C716C">
            <w:pPr>
              <w:ind w:firstLine="0"/>
              <w:rPr>
                <w:sz w:val="24"/>
                <w:szCs w:val="24"/>
                <w:lang w:val="ro-RO"/>
              </w:rPr>
            </w:pPr>
            <w:r>
              <w:rPr>
                <w:sz w:val="24"/>
                <w:szCs w:val="24"/>
                <w:lang w:val="ro-RO"/>
              </w:rPr>
              <w:t>Din tabelul de mai sus se observă o reducere a cantității de cioburi de sticlă utilizate în procesul de producere a ambalajelor de sticlă în țară. Mai mult ca atît, cioburile sunt importate din România. Pe de altă parte, fabricile de sticlă pot atinge valori de 80 % de înlocuire a materiilor prime cu cioburi, iar a</w:t>
            </w:r>
            <w:r w:rsidRPr="00BD14DE">
              <w:rPr>
                <w:sz w:val="24"/>
                <w:szCs w:val="24"/>
                <w:lang w:val="ro-RO"/>
              </w:rPr>
              <w:t>dăugarea a 10 % cioburi de sticlă la obţinerea sticlei reduce emisiile de CO2 cu până la 5 %</w:t>
            </w:r>
            <w:r>
              <w:rPr>
                <w:sz w:val="24"/>
                <w:szCs w:val="24"/>
                <w:lang w:val="ro-RO"/>
              </w:rPr>
              <w:t xml:space="preserve">. Cea mai mare problemă a cioburilor de sticlă este că acestea trebuie să aibă o calitate înaltă, să fie curate și lipsite de impurități, ceea ce nu este posibil de obținut în situația în acre deșeurile se colectează mixt. </w:t>
            </w:r>
          </w:p>
          <w:p w14:paraId="697E3607" w14:textId="77777777" w:rsidR="005C716C" w:rsidRDefault="005C716C" w:rsidP="005C716C">
            <w:pPr>
              <w:ind w:firstLine="0"/>
              <w:rPr>
                <w:sz w:val="24"/>
                <w:szCs w:val="24"/>
                <w:lang w:val="ro-RO"/>
              </w:rPr>
            </w:pPr>
            <w:r>
              <w:rPr>
                <w:sz w:val="24"/>
                <w:szCs w:val="24"/>
                <w:lang w:val="ro-RO"/>
              </w:rPr>
              <w:t>Suplimentar, necesită a fi menționat că t</w:t>
            </w:r>
            <w:r w:rsidRPr="00A60399">
              <w:rPr>
                <w:sz w:val="24"/>
                <w:szCs w:val="24"/>
                <w:lang w:val="ro-RO"/>
              </w:rPr>
              <w:t>oată sticla utilizată la producerea berii locale este</w:t>
            </w:r>
            <w:r>
              <w:rPr>
                <w:sz w:val="24"/>
                <w:szCs w:val="24"/>
                <w:lang w:val="ro-RO"/>
              </w:rPr>
              <w:t xml:space="preserve"> </w:t>
            </w:r>
            <w:r w:rsidRPr="00A60399">
              <w:rPr>
                <w:sz w:val="24"/>
                <w:szCs w:val="24"/>
                <w:lang w:val="ro-RO"/>
              </w:rPr>
              <w:t>reciclabilă. Actualmente, se recuperează de pe piață și se reutilizează peste 75% ambalaj de sticlă.</w:t>
            </w:r>
          </w:p>
          <w:p w14:paraId="29EB9B50" w14:textId="77777777" w:rsidR="005C716C" w:rsidRDefault="005C716C" w:rsidP="005C716C">
            <w:pPr>
              <w:ind w:firstLine="0"/>
              <w:rPr>
                <w:sz w:val="24"/>
                <w:szCs w:val="24"/>
                <w:lang w:val="ro-RO"/>
              </w:rPr>
            </w:pPr>
          </w:p>
          <w:p w14:paraId="4EB20DB3" w14:textId="77777777" w:rsidR="005C716C" w:rsidRDefault="005C716C" w:rsidP="005C716C">
            <w:pPr>
              <w:ind w:firstLine="0"/>
              <w:rPr>
                <w:sz w:val="24"/>
                <w:szCs w:val="24"/>
                <w:lang w:val="ro-RO"/>
              </w:rPr>
            </w:pPr>
            <w:r>
              <w:rPr>
                <w:sz w:val="24"/>
                <w:szCs w:val="24"/>
                <w:lang w:val="ro-RO"/>
              </w:rPr>
              <w:t xml:space="preserve">Pentru deșeurile de ambalaje de aluminiu nu există date privind cantitatea colectată. </w:t>
            </w:r>
          </w:p>
          <w:p w14:paraId="1FC46A5D" w14:textId="77777777" w:rsidR="00FA2B2E" w:rsidRPr="00BA709E" w:rsidRDefault="00FA2B2E" w:rsidP="00FA2B2E">
            <w:pPr>
              <w:ind w:firstLine="0"/>
              <w:jc w:val="left"/>
              <w:rPr>
                <w:sz w:val="24"/>
                <w:szCs w:val="24"/>
                <w:lang w:val="ro-RO"/>
              </w:rPr>
            </w:pPr>
            <w:r w:rsidRPr="005C716C">
              <w:rPr>
                <w:color w:val="FF0000"/>
                <w:sz w:val="24"/>
                <w:szCs w:val="24"/>
                <w:lang w:val="ro-RO"/>
              </w:rPr>
              <w:t xml:space="preserve"> </w:t>
            </w:r>
          </w:p>
        </w:tc>
      </w:tr>
      <w:tr w:rsidR="008103CD" w:rsidRPr="00BA709E" w14:paraId="1D1A4515"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603F9E" w14:textId="77777777" w:rsidR="00457A8E" w:rsidRPr="00BA709E" w:rsidRDefault="00457A8E" w:rsidP="00250584">
            <w:pPr>
              <w:ind w:firstLine="0"/>
              <w:jc w:val="left"/>
              <w:rPr>
                <w:sz w:val="24"/>
                <w:szCs w:val="24"/>
                <w:lang w:val="ro-RO"/>
              </w:rPr>
            </w:pPr>
            <w:r w:rsidRPr="00BA709E">
              <w:rPr>
                <w:bCs/>
                <w:sz w:val="24"/>
                <w:szCs w:val="24"/>
                <w:lang w:val="ro-RO"/>
              </w:rPr>
              <w:lastRenderedPageBreak/>
              <w:t xml:space="preserve">e) </w:t>
            </w:r>
            <w:r w:rsidRPr="00BA709E">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75751B" w14:textId="77777777" w:rsidR="00457A8E" w:rsidRPr="00BA709E" w:rsidRDefault="00457A8E" w:rsidP="00250584">
            <w:pPr>
              <w:ind w:firstLine="0"/>
              <w:jc w:val="left"/>
              <w:rPr>
                <w:sz w:val="24"/>
                <w:szCs w:val="24"/>
                <w:lang w:val="ro-RO"/>
              </w:rPr>
            </w:pPr>
          </w:p>
        </w:tc>
      </w:tr>
      <w:tr w:rsidR="00457A8E" w:rsidRPr="00BA709E" w14:paraId="2EBBA943"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D8F9EB" w14:textId="77777777" w:rsidR="00FB1D3B" w:rsidRDefault="00FB1D3B" w:rsidP="00FB1D3B">
            <w:pPr>
              <w:pStyle w:val="ac"/>
              <w:ind w:firstLine="806"/>
            </w:pPr>
            <w:r w:rsidRPr="00AA2878">
              <w:t>Din perspectiva integrării Europene a țării, Acordul de asociere între Republica Moldova și Uniunea Europeana (ratificat prin Legea nr. 112 /2014), capitolul 16 - ,,Mediul înconjurător”, sub-capitolul ,,Gestionarea deșeurilor și resurselor” prevede transpunerea Directivei 2008/98/CE privind deșeurile, în termen de 4 ani de la intrarea în vigoare a acordului. În particular, aplicarea articolului 14 privind „stabilirea mecanismului de recuperare integrală a costurilor în conformitate cu principiul polua</w:t>
            </w:r>
            <w:r>
              <w:t xml:space="preserve">torul plătește și cu principiul </w:t>
            </w:r>
            <w:r w:rsidRPr="00AA2878">
              <w:t>responsabilității extins</w:t>
            </w:r>
            <w:r>
              <w:t>e a</w:t>
            </w:r>
            <w:r w:rsidRPr="00AA2878">
              <w:t xml:space="preserve"> producătorului” se implementează începând cu anul 2018.</w:t>
            </w:r>
          </w:p>
          <w:p w14:paraId="05F86432" w14:textId="77777777" w:rsidR="00FB1D3B" w:rsidRDefault="00FB1D3B" w:rsidP="00FB1D3B">
            <w:pPr>
              <w:ind w:firstLine="664"/>
              <w:rPr>
                <w:sz w:val="24"/>
                <w:szCs w:val="24"/>
                <w:lang w:val="ro-RO"/>
              </w:rPr>
            </w:pPr>
            <w:r w:rsidRPr="00AA2878">
              <w:rPr>
                <w:sz w:val="24"/>
                <w:szCs w:val="24"/>
                <w:lang w:val="ro-RO"/>
              </w:rPr>
              <w:t xml:space="preserve">Articolul 12 din Legea nr. 209/2016 privind deșeurile cuprinde prevederi asociate de responsabilitatea extinsă a producătorilor (REP), pentru a promova reutilizarea și prevenirea, reciclarea și alte tipuri de valorificare a deșeurilor. Astfel, în scopul promovării principiului REP, prioritar sunt supuse unui regim de responsabilitate extinsă a producătorului următoarele produse: baterii și acumulatori, echipamente electrice și electronice, vehicule, uleiuri, </w:t>
            </w:r>
            <w:r w:rsidRPr="00AA2878">
              <w:rPr>
                <w:b/>
                <w:sz w:val="24"/>
                <w:szCs w:val="24"/>
                <w:lang w:val="ro-RO"/>
              </w:rPr>
              <w:t>ambalaje</w:t>
            </w:r>
            <w:r w:rsidRPr="00AA2878">
              <w:rPr>
                <w:sz w:val="24"/>
                <w:szCs w:val="24"/>
                <w:lang w:val="ro-RO"/>
              </w:rPr>
              <w:t>, anvelope.</w:t>
            </w:r>
            <w:r w:rsidR="000B3435">
              <w:rPr>
                <w:sz w:val="24"/>
                <w:szCs w:val="24"/>
                <w:lang w:val="ro-RO"/>
              </w:rPr>
              <w:t xml:space="preserve"> Art. 54 al Legii conține prevederi pentru deșeurile de ambalaje, care se referă în mare parte la aplicarea principiului de responsabilitate extinsă a producătorului. </w:t>
            </w:r>
          </w:p>
          <w:p w14:paraId="25289201" w14:textId="77777777" w:rsidR="00FB1D3B" w:rsidRDefault="00FB1D3B" w:rsidP="00FB1D3B">
            <w:pPr>
              <w:ind w:firstLine="664"/>
              <w:rPr>
                <w:sz w:val="24"/>
                <w:szCs w:val="24"/>
                <w:lang w:val="ro-RO"/>
              </w:rPr>
            </w:pPr>
            <w:r w:rsidRPr="00AA2878">
              <w:rPr>
                <w:sz w:val="24"/>
                <w:szCs w:val="24"/>
                <w:lang w:val="ro-RO"/>
              </w:rPr>
              <w:t>Reglementarea privind gestionarea ambalajelor și a deșeurilor de ambalaje (Hotărârea Guvernului nr. 561/2020 pentru aprobarea Regulamentului privind ambalajele și deșeurile de ambalaje) este</w:t>
            </w:r>
            <w:r w:rsidR="000B3435">
              <w:rPr>
                <w:sz w:val="24"/>
                <w:szCs w:val="24"/>
                <w:lang w:val="ro-RO"/>
              </w:rPr>
              <w:t xml:space="preserve"> în vigoare din 21 august 2021 și prevede aplicarea principiului de responsabilitate </w:t>
            </w:r>
            <w:r w:rsidR="000B3435">
              <w:rPr>
                <w:sz w:val="24"/>
                <w:szCs w:val="24"/>
                <w:lang w:val="ro-RO"/>
              </w:rPr>
              <w:lastRenderedPageBreak/>
              <w:t xml:space="preserve">extinsă a producătorului (REP), stabilind cerințele față de crearea sistemelor individuale sau colective de REP, țintele de valorificare a deșeurilor de ambalaje pe tip de material, precum și cerințele de raportare. Cu toate acestea, în regulamentul menționat nu sunt prevederi ce țin de crearea sistemului depozit pentru anumite tipuri de deșeuri de ambalaje.  </w:t>
            </w:r>
          </w:p>
          <w:p w14:paraId="207600EA" w14:textId="77777777" w:rsidR="00FB1D3B" w:rsidRDefault="000B3435" w:rsidP="00FB1D3B">
            <w:pPr>
              <w:ind w:firstLine="664"/>
              <w:rPr>
                <w:sz w:val="24"/>
                <w:szCs w:val="24"/>
                <w:lang w:val="ro-RO"/>
              </w:rPr>
            </w:pPr>
            <w:r w:rsidRPr="000B3435">
              <w:rPr>
                <w:sz w:val="24"/>
                <w:szCs w:val="24"/>
                <w:lang w:val="ro-RO"/>
              </w:rPr>
              <w:t>În scopul aplicării eficiente a prevederilor de gestionarea ambalajului şi deşeurilor de ambalaje conform Hotărîrii Guvernului nr.561/2020, se constată necesitatea includerii unor noi reglementări în Legea 209/2016, care ar reglementa  aplicabilitatea Sistemului de depozit pentru ambalaje. Astfel se propune completarea Legii 209/2016 cu patru articole noi art. 54</w:t>
            </w:r>
            <w:r w:rsidRPr="000B3435">
              <w:rPr>
                <w:sz w:val="24"/>
                <w:szCs w:val="24"/>
                <w:vertAlign w:val="superscript"/>
                <w:lang w:val="ro-RO"/>
              </w:rPr>
              <w:t>1</w:t>
            </w:r>
            <w:r w:rsidRPr="000B3435">
              <w:rPr>
                <w:sz w:val="24"/>
                <w:szCs w:val="24"/>
                <w:lang w:val="ro-RO"/>
              </w:rPr>
              <w:t>- 54</w:t>
            </w:r>
            <w:r w:rsidRPr="000B3435">
              <w:rPr>
                <w:sz w:val="24"/>
                <w:szCs w:val="24"/>
                <w:vertAlign w:val="superscript"/>
                <w:lang w:val="ro-RO"/>
              </w:rPr>
              <w:t>4</w:t>
            </w:r>
            <w:r w:rsidRPr="000B3435">
              <w:rPr>
                <w:sz w:val="24"/>
                <w:szCs w:val="24"/>
                <w:lang w:val="ro-RO"/>
              </w:rPr>
              <w:t xml:space="preserve">, care ar conține </w:t>
            </w:r>
            <w:r>
              <w:rPr>
                <w:sz w:val="24"/>
                <w:szCs w:val="24"/>
                <w:lang w:val="ro-RO"/>
              </w:rPr>
              <w:t xml:space="preserve">normele primare privind </w:t>
            </w:r>
            <w:r w:rsidRPr="000B3435">
              <w:rPr>
                <w:sz w:val="24"/>
                <w:szCs w:val="24"/>
                <w:lang w:val="ro-RO"/>
              </w:rPr>
              <w:t>obligațiile vânzătorilor de ambalaje în sistemul  depozit, cerințe către administratorul sistemului de depozit a ambalajelor reutilizabile și administratorul sistemului de depozit pentru ambalaje de unică folosință.</w:t>
            </w:r>
          </w:p>
          <w:p w14:paraId="6A0DCE99" w14:textId="77777777" w:rsidR="00FB1D3B" w:rsidRPr="00BA709E" w:rsidRDefault="00FB1D3B" w:rsidP="00C33CD9">
            <w:pPr>
              <w:ind w:firstLine="666"/>
              <w:rPr>
                <w:sz w:val="24"/>
                <w:szCs w:val="24"/>
                <w:lang w:val="ro-RO"/>
              </w:rPr>
            </w:pPr>
          </w:p>
        </w:tc>
      </w:tr>
      <w:tr w:rsidR="00457A8E" w:rsidRPr="00BA709E" w14:paraId="29653D66"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593578" w14:textId="77777777" w:rsidR="00457A8E" w:rsidRPr="00BA709E" w:rsidRDefault="00457A8E" w:rsidP="00250584">
            <w:pPr>
              <w:ind w:firstLine="0"/>
              <w:jc w:val="left"/>
              <w:rPr>
                <w:sz w:val="24"/>
                <w:szCs w:val="24"/>
                <w:lang w:val="ro-RO"/>
              </w:rPr>
            </w:pPr>
            <w:r w:rsidRPr="00BA709E">
              <w:rPr>
                <w:b/>
                <w:bCs/>
                <w:sz w:val="24"/>
                <w:szCs w:val="24"/>
                <w:lang w:val="ro-RO"/>
              </w:rPr>
              <w:lastRenderedPageBreak/>
              <w:t>2. Stabilirea obiectivelor</w:t>
            </w:r>
          </w:p>
        </w:tc>
      </w:tr>
      <w:tr w:rsidR="008103CD" w:rsidRPr="00BA709E" w14:paraId="7173B718"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12ED3" w14:textId="77777777" w:rsidR="00457A8E" w:rsidRPr="00BA709E" w:rsidRDefault="00457A8E" w:rsidP="00250584">
            <w:pPr>
              <w:ind w:firstLine="0"/>
              <w:jc w:val="left"/>
              <w:rPr>
                <w:sz w:val="24"/>
                <w:szCs w:val="24"/>
                <w:lang w:val="ro-RO"/>
              </w:rPr>
            </w:pPr>
            <w:r w:rsidRPr="00BA709E">
              <w:rPr>
                <w:bCs/>
                <w:sz w:val="24"/>
                <w:szCs w:val="24"/>
                <w:lang w:val="ro-RO"/>
              </w:rPr>
              <w:t>a) Expuneți obiectivele (care trebuie să fie legate direct de problemă și cauzele acesteia, formulate cuantificat, măsurabil, fixat în timp și realist</w:t>
            </w:r>
            <w:r w:rsidRPr="00BA709E">
              <w:rPr>
                <w:sz w:val="24"/>
                <w:szCs w:val="24"/>
                <w:lang w:val="ro-RO"/>
              </w:rPr>
              <w:t>)</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E9E140A" w14:textId="77777777" w:rsidR="00457A8E" w:rsidRPr="00BA709E" w:rsidRDefault="00457A8E" w:rsidP="00250584">
            <w:pPr>
              <w:ind w:firstLine="0"/>
              <w:jc w:val="left"/>
              <w:rPr>
                <w:sz w:val="24"/>
                <w:szCs w:val="24"/>
                <w:lang w:val="ro-RO"/>
              </w:rPr>
            </w:pPr>
          </w:p>
        </w:tc>
      </w:tr>
      <w:tr w:rsidR="00457A8E" w:rsidRPr="00BA709E" w14:paraId="34233E69"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441065" w14:textId="77777777" w:rsidR="001B5C67" w:rsidRPr="00BA709E" w:rsidRDefault="001B5C67" w:rsidP="00580AA4">
            <w:pPr>
              <w:ind w:firstLine="522"/>
              <w:rPr>
                <w:sz w:val="24"/>
                <w:szCs w:val="24"/>
                <w:lang w:val="ro-RO"/>
              </w:rPr>
            </w:pPr>
            <w:r w:rsidRPr="00BA709E">
              <w:rPr>
                <w:sz w:val="24"/>
                <w:szCs w:val="24"/>
                <w:lang w:val="ro-RO"/>
              </w:rPr>
              <w:t xml:space="preserve">Proiectul </w:t>
            </w:r>
            <w:r w:rsidR="0016678A" w:rsidRPr="00BA709E">
              <w:rPr>
                <w:sz w:val="24"/>
                <w:szCs w:val="24"/>
                <w:lang w:val="ro-RO"/>
              </w:rPr>
              <w:t>Hotărârii</w:t>
            </w:r>
            <w:r w:rsidRPr="00BA709E">
              <w:rPr>
                <w:sz w:val="24"/>
                <w:szCs w:val="24"/>
                <w:lang w:val="ro-RO"/>
              </w:rPr>
              <w:t xml:space="preserve"> de Guvern  țintește următoarele obiective:</w:t>
            </w:r>
          </w:p>
          <w:p w14:paraId="7135FC7B" w14:textId="77777777" w:rsidR="00BD1A27" w:rsidRPr="00BA709E" w:rsidRDefault="00BD1A27" w:rsidP="00580AA4">
            <w:pPr>
              <w:ind w:firstLine="522"/>
              <w:rPr>
                <w:sz w:val="24"/>
                <w:szCs w:val="24"/>
                <w:lang w:val="ro-RO"/>
              </w:rPr>
            </w:pPr>
            <w:r w:rsidRPr="00BA709E">
              <w:rPr>
                <w:sz w:val="24"/>
                <w:szCs w:val="24"/>
                <w:lang w:val="ro-RO"/>
              </w:rPr>
              <w:t>-</w:t>
            </w:r>
            <w:r w:rsidR="0016678A" w:rsidRPr="00BA709E">
              <w:rPr>
                <w:sz w:val="24"/>
                <w:szCs w:val="24"/>
                <w:lang w:val="ro-RO"/>
              </w:rPr>
              <w:t xml:space="preserve"> Stabilirea </w:t>
            </w:r>
            <w:r w:rsidR="00B55812">
              <w:rPr>
                <w:sz w:val="24"/>
                <w:szCs w:val="24"/>
                <w:lang w:val="ro-RO"/>
              </w:rPr>
              <w:t>cadrului de reglementare pentru stabilirea și operarea sistemului de depozit și a Administratorului sistemului de depozit</w:t>
            </w:r>
            <w:r w:rsidRPr="00BA709E">
              <w:rPr>
                <w:sz w:val="24"/>
                <w:szCs w:val="24"/>
                <w:lang w:val="ro-RO"/>
              </w:rPr>
              <w:t>;</w:t>
            </w:r>
          </w:p>
          <w:p w14:paraId="3F23FC63" w14:textId="77777777" w:rsidR="00BD1A27" w:rsidRDefault="0016678A" w:rsidP="00580AA4">
            <w:pPr>
              <w:ind w:firstLine="522"/>
              <w:rPr>
                <w:sz w:val="24"/>
                <w:szCs w:val="24"/>
                <w:lang w:val="ro-RO"/>
              </w:rPr>
            </w:pPr>
            <w:r w:rsidRPr="00BA709E">
              <w:rPr>
                <w:sz w:val="24"/>
                <w:szCs w:val="24"/>
                <w:lang w:val="ro-RO"/>
              </w:rPr>
              <w:t xml:space="preserve">- </w:t>
            </w:r>
            <w:r w:rsidR="00B55812">
              <w:rPr>
                <w:sz w:val="24"/>
                <w:szCs w:val="24"/>
                <w:lang w:val="ro-RO"/>
              </w:rPr>
              <w:t xml:space="preserve">Stabilirea unui sistem eficient și durabil de abatere din fluxul de deșeuri a ambalajelor de unică folosință și reîntoarcerea în circuit a </w:t>
            </w:r>
            <w:r w:rsidR="006A1F90">
              <w:rPr>
                <w:sz w:val="24"/>
                <w:szCs w:val="24"/>
                <w:lang w:val="ro-RO"/>
              </w:rPr>
              <w:t>ambalajelor</w:t>
            </w:r>
            <w:r w:rsidR="00B55812">
              <w:rPr>
                <w:sz w:val="24"/>
                <w:szCs w:val="24"/>
                <w:lang w:val="ro-RO"/>
              </w:rPr>
              <w:t xml:space="preserve"> reutilizabile </w:t>
            </w:r>
          </w:p>
          <w:p w14:paraId="629625A0" w14:textId="77777777" w:rsidR="00B55812" w:rsidRDefault="00B55812" w:rsidP="00580AA4">
            <w:pPr>
              <w:ind w:firstLine="522"/>
              <w:rPr>
                <w:sz w:val="24"/>
                <w:szCs w:val="24"/>
                <w:lang w:val="ro-RO"/>
              </w:rPr>
            </w:pPr>
            <w:r>
              <w:rPr>
                <w:sz w:val="24"/>
                <w:szCs w:val="24"/>
                <w:lang w:val="ro-RO"/>
              </w:rPr>
              <w:t>- Asigurarea unor rate înalte de colectare a deșeurilor de ambalaje de plastic, sticlă și metale</w:t>
            </w:r>
          </w:p>
          <w:p w14:paraId="352E45CA" w14:textId="77777777" w:rsidR="00B55812" w:rsidRDefault="00B55812" w:rsidP="00580AA4">
            <w:pPr>
              <w:ind w:firstLine="522"/>
              <w:rPr>
                <w:sz w:val="24"/>
                <w:szCs w:val="24"/>
                <w:lang w:val="ro-RO"/>
              </w:rPr>
            </w:pPr>
            <w:r>
              <w:rPr>
                <w:sz w:val="24"/>
                <w:szCs w:val="24"/>
                <w:lang w:val="ro-RO"/>
              </w:rPr>
              <w:t>- Asigurarea colectării unor deșeuri de ambalaje curate și de calitate înaltă, care pot fi valorificate mai simplu și au o valoarea mai mare</w:t>
            </w:r>
          </w:p>
          <w:p w14:paraId="4B3827FB" w14:textId="77777777" w:rsidR="00B55812" w:rsidRDefault="00B55812" w:rsidP="00580AA4">
            <w:pPr>
              <w:ind w:firstLine="522"/>
              <w:rPr>
                <w:sz w:val="24"/>
                <w:szCs w:val="24"/>
                <w:lang w:val="ro-RO"/>
              </w:rPr>
            </w:pPr>
            <w:r>
              <w:rPr>
                <w:sz w:val="24"/>
                <w:szCs w:val="24"/>
                <w:lang w:val="ro-RO"/>
              </w:rPr>
              <w:t>- Schimbarea comportamentului consumatorului și sporirea conștiinței sociale pentru</w:t>
            </w:r>
            <w:r w:rsidR="00DE76E3">
              <w:rPr>
                <w:sz w:val="24"/>
                <w:szCs w:val="24"/>
                <w:lang w:val="ro-RO"/>
              </w:rPr>
              <w:t xml:space="preserve"> deșeurile de ambalaje generate</w:t>
            </w:r>
          </w:p>
          <w:p w14:paraId="44629A9B" w14:textId="77777777" w:rsidR="00DE76E3" w:rsidRPr="00BA709E" w:rsidRDefault="00DE76E3" w:rsidP="00580AA4">
            <w:pPr>
              <w:ind w:firstLine="522"/>
              <w:rPr>
                <w:sz w:val="24"/>
                <w:szCs w:val="24"/>
                <w:lang w:val="ro-RO"/>
              </w:rPr>
            </w:pPr>
            <w:r>
              <w:rPr>
                <w:sz w:val="24"/>
                <w:szCs w:val="24"/>
                <w:lang w:val="ro-RO"/>
              </w:rPr>
              <w:t>- Sporirea capacității</w:t>
            </w:r>
            <w:r w:rsidRPr="00DE76E3">
              <w:rPr>
                <w:sz w:val="24"/>
                <w:szCs w:val="24"/>
                <w:lang w:val="ro-RO"/>
              </w:rPr>
              <w:t xml:space="preserve"> intern</w:t>
            </w:r>
            <w:r>
              <w:rPr>
                <w:sz w:val="24"/>
                <w:szCs w:val="24"/>
                <w:lang w:val="ro-RO"/>
              </w:rPr>
              <w:t>e</w:t>
            </w:r>
            <w:r w:rsidRPr="00DE76E3">
              <w:rPr>
                <w:sz w:val="24"/>
                <w:szCs w:val="24"/>
                <w:lang w:val="ro-RO"/>
              </w:rPr>
              <w:t xml:space="preserve"> de procesare </w:t>
            </w:r>
            <w:r>
              <w:rPr>
                <w:sz w:val="24"/>
                <w:szCs w:val="24"/>
                <w:lang w:val="ro-RO"/>
              </w:rPr>
              <w:t xml:space="preserve">a deșeurilor prin furnizarea unor cantități </w:t>
            </w:r>
            <w:r w:rsidRPr="00DE76E3">
              <w:rPr>
                <w:sz w:val="24"/>
                <w:szCs w:val="24"/>
                <w:lang w:val="ro-RO"/>
              </w:rPr>
              <w:t>stabile și de înaltă c</w:t>
            </w:r>
            <w:r>
              <w:rPr>
                <w:sz w:val="24"/>
                <w:szCs w:val="24"/>
                <w:lang w:val="ro-RO"/>
              </w:rPr>
              <w:t>alitate de deșeuri reciclabile.</w:t>
            </w:r>
          </w:p>
          <w:p w14:paraId="15D1FEA8" w14:textId="77777777" w:rsidR="00457A8E" w:rsidRPr="00BA709E" w:rsidRDefault="00457A8E" w:rsidP="00B55812">
            <w:pPr>
              <w:ind w:firstLine="0"/>
              <w:rPr>
                <w:sz w:val="24"/>
                <w:szCs w:val="24"/>
                <w:lang w:val="ro-RO"/>
              </w:rPr>
            </w:pPr>
          </w:p>
        </w:tc>
      </w:tr>
      <w:tr w:rsidR="00457A8E" w:rsidRPr="00BA709E" w14:paraId="6797B610"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1E11A5" w14:textId="77777777" w:rsidR="00457A8E" w:rsidRPr="00BA709E" w:rsidRDefault="00457A8E" w:rsidP="00250584">
            <w:pPr>
              <w:ind w:firstLine="0"/>
              <w:jc w:val="left"/>
              <w:rPr>
                <w:sz w:val="24"/>
                <w:szCs w:val="24"/>
                <w:lang w:val="ro-RO"/>
              </w:rPr>
            </w:pPr>
            <w:r w:rsidRPr="00BA709E">
              <w:rPr>
                <w:b/>
                <w:bCs/>
                <w:sz w:val="24"/>
                <w:szCs w:val="24"/>
                <w:lang w:val="ro-RO"/>
              </w:rPr>
              <w:t>3. Identificarea opţiunilor</w:t>
            </w:r>
          </w:p>
        </w:tc>
      </w:tr>
      <w:tr w:rsidR="008103CD" w:rsidRPr="00BA709E" w14:paraId="57F77282"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07CD2" w14:textId="77777777" w:rsidR="00457A8E" w:rsidRPr="00BA709E" w:rsidRDefault="00457A8E" w:rsidP="00250584">
            <w:pPr>
              <w:ind w:firstLine="0"/>
              <w:jc w:val="left"/>
              <w:rPr>
                <w:sz w:val="24"/>
                <w:szCs w:val="24"/>
                <w:lang w:val="ro-RO"/>
              </w:rPr>
            </w:pPr>
            <w:r w:rsidRPr="00BA709E">
              <w:rPr>
                <w:bCs/>
                <w:sz w:val="24"/>
                <w:szCs w:val="24"/>
                <w:lang w:val="ro-RO"/>
              </w:rPr>
              <w:t>a) Expuneți succint opțiunea „a nu face nimic”, care presupune lipsa de intervenție</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316B8A" w14:textId="77777777" w:rsidR="00457A8E" w:rsidRPr="00BA709E" w:rsidRDefault="00457A8E" w:rsidP="00250584">
            <w:pPr>
              <w:ind w:firstLine="0"/>
              <w:jc w:val="left"/>
              <w:rPr>
                <w:sz w:val="24"/>
                <w:szCs w:val="24"/>
                <w:lang w:val="ro-RO"/>
              </w:rPr>
            </w:pPr>
          </w:p>
        </w:tc>
      </w:tr>
      <w:tr w:rsidR="00457A8E" w:rsidRPr="00BA709E" w14:paraId="5D9805B0"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F0DC36" w14:textId="77777777" w:rsidR="000D3F7C" w:rsidRPr="00BA709E" w:rsidRDefault="000D3F7C" w:rsidP="000D3F7C">
            <w:pPr>
              <w:pStyle w:val="a5"/>
              <w:ind w:firstLine="0"/>
              <w:rPr>
                <w:sz w:val="24"/>
                <w:szCs w:val="28"/>
                <w:lang w:val="ro-RO"/>
              </w:rPr>
            </w:pPr>
            <w:r w:rsidRPr="00BA709E">
              <w:rPr>
                <w:sz w:val="24"/>
                <w:szCs w:val="28"/>
                <w:lang w:val="ro-RO"/>
              </w:rPr>
              <w:t xml:space="preserve">Pentru </w:t>
            </w:r>
            <w:r w:rsidR="00580AA4" w:rsidRPr="00BA709E">
              <w:rPr>
                <w:sz w:val="24"/>
                <w:szCs w:val="28"/>
                <w:lang w:val="ro-RO"/>
              </w:rPr>
              <w:t>opțiunea</w:t>
            </w:r>
            <w:r w:rsidRPr="00BA709E">
              <w:rPr>
                <w:sz w:val="24"/>
                <w:szCs w:val="28"/>
                <w:lang w:val="ro-RO"/>
              </w:rPr>
              <w:t xml:space="preserve"> – a nu face nimic, a lăsa lucrurile </w:t>
            </w:r>
            <w:r w:rsidR="00580AA4" w:rsidRPr="00BA709E">
              <w:rPr>
                <w:sz w:val="24"/>
                <w:szCs w:val="28"/>
                <w:lang w:val="ro-RO"/>
              </w:rPr>
              <w:t>așa</w:t>
            </w:r>
            <w:r w:rsidRPr="00BA709E">
              <w:rPr>
                <w:sz w:val="24"/>
                <w:szCs w:val="28"/>
                <w:lang w:val="ro-RO"/>
              </w:rPr>
              <w:t xml:space="preserve"> cum sunt. </w:t>
            </w:r>
          </w:p>
          <w:p w14:paraId="153CEE8B" w14:textId="77777777" w:rsidR="00457A8E" w:rsidRPr="00B55812" w:rsidRDefault="000D3F7C" w:rsidP="00B55812">
            <w:pPr>
              <w:ind w:firstLine="0"/>
              <w:rPr>
                <w:b/>
                <w:bCs/>
                <w:sz w:val="24"/>
                <w:szCs w:val="24"/>
                <w:lang w:val="ro-RO"/>
              </w:rPr>
            </w:pPr>
            <w:r w:rsidRPr="00BA709E">
              <w:rPr>
                <w:sz w:val="24"/>
                <w:szCs w:val="28"/>
                <w:lang w:val="ro-RO"/>
              </w:rPr>
              <w:t>Situația va rămâne nemodificată, astfel cum este descrisă la com</w:t>
            </w:r>
            <w:r w:rsidR="00B55812">
              <w:rPr>
                <w:sz w:val="24"/>
                <w:szCs w:val="28"/>
                <w:lang w:val="ro-RO"/>
              </w:rPr>
              <w:t>partimentul definirea problemei. Deșeurile de ambalaje vor continua să se genereze în cantități semnificative, nefiind colectate la eficiența maximă.</w:t>
            </w:r>
            <w:r w:rsidR="006E2040">
              <w:rPr>
                <w:sz w:val="24"/>
                <w:szCs w:val="28"/>
                <w:lang w:val="ro-RO"/>
              </w:rPr>
              <w:t xml:space="preserve"> Chiar dacă vor fi create sisteme de colectare selectivă a deșeurilor de ambalaje, ratele de colectare nu vor fi atît de înalte, iar calitatea deșeurilor de ambalaje va fi joasă. </w:t>
            </w:r>
          </w:p>
        </w:tc>
      </w:tr>
      <w:tr w:rsidR="008103CD" w:rsidRPr="00BA709E" w14:paraId="3C7EFE59"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F1DCF" w14:textId="77777777" w:rsidR="00457A8E" w:rsidRPr="00BA709E" w:rsidRDefault="00457A8E" w:rsidP="00250584">
            <w:pPr>
              <w:ind w:firstLine="0"/>
              <w:jc w:val="left"/>
              <w:rPr>
                <w:bCs/>
                <w:sz w:val="24"/>
                <w:szCs w:val="24"/>
                <w:lang w:val="ro-RO"/>
              </w:rPr>
            </w:pPr>
            <w:r w:rsidRPr="00BA709E">
              <w:rPr>
                <w:bCs/>
                <w:sz w:val="24"/>
                <w:szCs w:val="24"/>
                <w:lang w:val="ro-RO"/>
              </w:rPr>
              <w:t>b) Expuneți</w:t>
            </w:r>
            <w:r w:rsidRPr="00BA709E">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C7651E" w14:textId="77777777" w:rsidR="00457A8E" w:rsidRPr="00BA709E" w:rsidRDefault="00457A8E" w:rsidP="00250584">
            <w:pPr>
              <w:ind w:firstLine="0"/>
              <w:jc w:val="left"/>
              <w:rPr>
                <w:sz w:val="24"/>
                <w:szCs w:val="24"/>
                <w:lang w:val="ro-RO"/>
              </w:rPr>
            </w:pPr>
          </w:p>
        </w:tc>
      </w:tr>
      <w:tr w:rsidR="00457A8E" w:rsidRPr="00BA709E" w14:paraId="2F6BAD9F"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F07CFD" w14:textId="77777777" w:rsidR="006E2040" w:rsidRDefault="006E2040" w:rsidP="00CC4684">
            <w:pPr>
              <w:ind w:firstLine="0"/>
              <w:jc w:val="left"/>
              <w:rPr>
                <w:sz w:val="24"/>
                <w:szCs w:val="24"/>
                <w:lang w:val="ro-RO"/>
              </w:rPr>
            </w:pPr>
          </w:p>
          <w:p w14:paraId="1AF7DBE4" w14:textId="77777777" w:rsidR="00C33CD9" w:rsidRDefault="00C33CD9" w:rsidP="00C33CD9">
            <w:pPr>
              <w:ind w:firstLine="664"/>
              <w:rPr>
                <w:sz w:val="24"/>
                <w:szCs w:val="24"/>
                <w:lang w:val="ro-RO"/>
              </w:rPr>
            </w:pPr>
            <w:r>
              <w:rPr>
                <w:sz w:val="24"/>
                <w:szCs w:val="24"/>
                <w:lang w:val="ro-RO"/>
              </w:rPr>
              <w:t xml:space="preserve">Elaborarea prezentei hotărîri de Guvern este necesară pentru a stabili mai detaliat </w:t>
            </w:r>
            <w:r w:rsidRPr="0005353F">
              <w:rPr>
                <w:sz w:val="24"/>
                <w:szCs w:val="24"/>
                <w:lang w:val="ro-RO"/>
              </w:rPr>
              <w:t>procedura de  organizare și funcționare a Sistemului de depozit pentru ambalaje</w:t>
            </w:r>
            <w:r>
              <w:rPr>
                <w:sz w:val="24"/>
                <w:szCs w:val="24"/>
                <w:lang w:val="ro-RO"/>
              </w:rPr>
              <w:t xml:space="preserve">, </w:t>
            </w:r>
            <w:r w:rsidR="005F5CE3" w:rsidRPr="00D93D17">
              <w:rPr>
                <w:sz w:val="24"/>
                <w:szCs w:val="24"/>
                <w:lang w:val="ro-RO"/>
              </w:rPr>
              <w:t xml:space="preserve">procedura de selectare de către Ministerul Mediului a administratorului Sistemului de depozit pentru ambalaje, </w:t>
            </w:r>
            <w:r w:rsidRPr="00D93D17">
              <w:rPr>
                <w:sz w:val="24"/>
                <w:szCs w:val="24"/>
                <w:lang w:val="ro-RO"/>
              </w:rPr>
              <w:t>cerințele</w:t>
            </w:r>
            <w:r>
              <w:rPr>
                <w:sz w:val="24"/>
                <w:szCs w:val="24"/>
                <w:lang w:val="ro-RO"/>
              </w:rPr>
              <w:t xml:space="preserve"> față de </w:t>
            </w:r>
            <w:r w:rsidRPr="0005353F">
              <w:rPr>
                <w:sz w:val="24"/>
                <w:szCs w:val="24"/>
                <w:lang w:val="ro-RO"/>
              </w:rPr>
              <w:t xml:space="preserve">Planul de organizare a Sistemului de depozit pentru ambalaje de unică folosință, </w:t>
            </w:r>
            <w:r>
              <w:rPr>
                <w:sz w:val="24"/>
                <w:szCs w:val="24"/>
                <w:lang w:val="ro-RO"/>
              </w:rPr>
              <w:t xml:space="preserve">organizarea </w:t>
            </w:r>
            <w:r w:rsidRPr="0005353F">
              <w:rPr>
                <w:sz w:val="24"/>
                <w:szCs w:val="24"/>
                <w:lang w:val="ro-RO"/>
              </w:rPr>
              <w:t>schem</w:t>
            </w:r>
            <w:r>
              <w:rPr>
                <w:sz w:val="24"/>
                <w:szCs w:val="24"/>
                <w:lang w:val="ro-RO"/>
              </w:rPr>
              <w:t>ei</w:t>
            </w:r>
            <w:r w:rsidRPr="0005353F">
              <w:rPr>
                <w:sz w:val="24"/>
                <w:szCs w:val="24"/>
                <w:lang w:val="ro-RO"/>
              </w:rPr>
              <w:t xml:space="preserve"> de finanțare a depozitului pentru ambalaje reutilizabile și ambalaje de unică folosință și </w:t>
            </w:r>
            <w:r>
              <w:rPr>
                <w:sz w:val="24"/>
                <w:szCs w:val="24"/>
                <w:lang w:val="ro-RO"/>
              </w:rPr>
              <w:t>elaborarea P</w:t>
            </w:r>
            <w:r w:rsidRPr="0005353F">
              <w:rPr>
                <w:sz w:val="24"/>
                <w:szCs w:val="24"/>
                <w:lang w:val="ro-RO"/>
              </w:rPr>
              <w:t>rogramul</w:t>
            </w:r>
            <w:r>
              <w:rPr>
                <w:sz w:val="24"/>
                <w:szCs w:val="24"/>
                <w:lang w:val="ro-RO"/>
              </w:rPr>
              <w:t>ui</w:t>
            </w:r>
            <w:r w:rsidRPr="0005353F">
              <w:rPr>
                <w:sz w:val="24"/>
                <w:szCs w:val="24"/>
                <w:lang w:val="ro-RO"/>
              </w:rPr>
              <w:t xml:space="preserve"> de educație și informare publică cu privire la sistemul de depozit pentru ambalaje reutilizabile și ambalajele de unică folosință</w:t>
            </w:r>
            <w:r>
              <w:rPr>
                <w:sz w:val="24"/>
                <w:szCs w:val="24"/>
                <w:lang w:val="ro-RO"/>
              </w:rPr>
              <w:t xml:space="preserve"> precum și cerințele de raportare. </w:t>
            </w:r>
          </w:p>
          <w:p w14:paraId="31BB758C" w14:textId="7FE8BC77" w:rsidR="00C33CD9" w:rsidRDefault="00C33CD9" w:rsidP="00C33CD9">
            <w:pPr>
              <w:ind w:firstLine="664"/>
              <w:rPr>
                <w:sz w:val="24"/>
                <w:szCs w:val="24"/>
                <w:lang w:val="ro-RO"/>
              </w:rPr>
            </w:pPr>
            <w:r>
              <w:rPr>
                <w:sz w:val="24"/>
                <w:szCs w:val="24"/>
                <w:lang w:val="ro-RO"/>
              </w:rPr>
              <w:t xml:space="preserve">Astfel, proiectul hotărîrii Guvernului </w:t>
            </w:r>
            <w:r w:rsidR="002E0306" w:rsidRPr="002E0306">
              <w:rPr>
                <w:sz w:val="24"/>
                <w:szCs w:val="24"/>
                <w:lang w:val="ro-RO"/>
              </w:rPr>
              <w:t>privind stabilirea Sistemului de depozit pentru ambalaje</w:t>
            </w:r>
            <w:r>
              <w:rPr>
                <w:sz w:val="24"/>
                <w:szCs w:val="24"/>
                <w:lang w:val="ro-RO"/>
              </w:rPr>
              <w:t xml:space="preserve"> va conține următoarele capitole: </w:t>
            </w:r>
          </w:p>
          <w:p w14:paraId="7F994CC7" w14:textId="77777777" w:rsidR="00C33CD9" w:rsidRPr="00C33CD9" w:rsidRDefault="00C33CD9" w:rsidP="00C33CD9">
            <w:pPr>
              <w:pStyle w:val="a9"/>
              <w:numPr>
                <w:ilvl w:val="0"/>
                <w:numId w:val="20"/>
              </w:numPr>
              <w:rPr>
                <w:sz w:val="24"/>
                <w:szCs w:val="24"/>
                <w:lang w:val="ro-RO"/>
              </w:rPr>
            </w:pPr>
            <w:r w:rsidRPr="00C33CD9">
              <w:rPr>
                <w:sz w:val="24"/>
                <w:szCs w:val="24"/>
                <w:lang w:val="ro-RO"/>
              </w:rPr>
              <w:t>Dispoziții generale</w:t>
            </w:r>
          </w:p>
          <w:p w14:paraId="37237517" w14:textId="77777777" w:rsidR="00C33CD9" w:rsidRDefault="00C33CD9" w:rsidP="00C33CD9">
            <w:pPr>
              <w:pStyle w:val="a9"/>
              <w:numPr>
                <w:ilvl w:val="0"/>
                <w:numId w:val="20"/>
              </w:numPr>
              <w:rPr>
                <w:sz w:val="24"/>
                <w:szCs w:val="24"/>
                <w:lang w:val="ro-RO"/>
              </w:rPr>
            </w:pPr>
            <w:r w:rsidRPr="00C33CD9">
              <w:rPr>
                <w:sz w:val="24"/>
                <w:szCs w:val="24"/>
                <w:lang w:val="ro-RO"/>
              </w:rPr>
              <w:lastRenderedPageBreak/>
              <w:t>Cerințe generale pentru pregătirea planului de organizare, a schemei de finanțare și a programului de educație</w:t>
            </w:r>
          </w:p>
          <w:p w14:paraId="664FC480" w14:textId="77777777" w:rsidR="00C33CD9" w:rsidRDefault="00C33CD9" w:rsidP="00C33CD9">
            <w:pPr>
              <w:pStyle w:val="a9"/>
              <w:numPr>
                <w:ilvl w:val="0"/>
                <w:numId w:val="20"/>
              </w:numPr>
              <w:rPr>
                <w:sz w:val="24"/>
                <w:szCs w:val="24"/>
                <w:lang w:val="ro-RO"/>
              </w:rPr>
            </w:pPr>
            <w:r w:rsidRPr="00C33CD9">
              <w:rPr>
                <w:sz w:val="24"/>
                <w:szCs w:val="24"/>
                <w:lang w:val="ro-RO"/>
              </w:rPr>
              <w:t>Plan de organizare a sistemului de depozit</w:t>
            </w:r>
          </w:p>
          <w:p w14:paraId="1D3257D7" w14:textId="77777777" w:rsidR="00C33CD9" w:rsidRDefault="00C33CD9" w:rsidP="00C33CD9">
            <w:pPr>
              <w:pStyle w:val="a9"/>
              <w:numPr>
                <w:ilvl w:val="0"/>
                <w:numId w:val="20"/>
              </w:numPr>
              <w:rPr>
                <w:sz w:val="24"/>
                <w:szCs w:val="24"/>
                <w:lang w:val="ro-RO"/>
              </w:rPr>
            </w:pPr>
            <w:r w:rsidRPr="00C33CD9">
              <w:rPr>
                <w:sz w:val="24"/>
                <w:szCs w:val="24"/>
                <w:lang w:val="ro-RO"/>
              </w:rPr>
              <w:t>Schema  de finanțare</w:t>
            </w:r>
          </w:p>
          <w:p w14:paraId="2F6097D1" w14:textId="77777777" w:rsidR="00C33CD9" w:rsidRDefault="00C33CD9" w:rsidP="00C33CD9">
            <w:pPr>
              <w:pStyle w:val="a9"/>
              <w:numPr>
                <w:ilvl w:val="0"/>
                <w:numId w:val="20"/>
              </w:numPr>
              <w:rPr>
                <w:sz w:val="24"/>
                <w:szCs w:val="24"/>
                <w:lang w:val="ro-RO"/>
              </w:rPr>
            </w:pPr>
            <w:r w:rsidRPr="00C33CD9">
              <w:rPr>
                <w:sz w:val="24"/>
                <w:szCs w:val="24"/>
                <w:lang w:val="ro-RO"/>
              </w:rPr>
              <w:t>Program de educație</w:t>
            </w:r>
          </w:p>
          <w:p w14:paraId="27ACF60F" w14:textId="77777777" w:rsidR="00C33CD9" w:rsidRDefault="00C33CD9" w:rsidP="00C33CD9">
            <w:pPr>
              <w:pStyle w:val="a9"/>
              <w:numPr>
                <w:ilvl w:val="0"/>
                <w:numId w:val="20"/>
              </w:numPr>
              <w:rPr>
                <w:sz w:val="24"/>
                <w:szCs w:val="24"/>
                <w:lang w:val="ro-RO"/>
              </w:rPr>
            </w:pPr>
            <w:r w:rsidRPr="00C33CD9">
              <w:rPr>
                <w:sz w:val="24"/>
                <w:szCs w:val="24"/>
                <w:lang w:val="ro-RO"/>
              </w:rPr>
              <w:t>Depunerea și coordonarea primului plan de organizare a sistemului depozit, schemei de finanțare și programului de educație</w:t>
            </w:r>
          </w:p>
          <w:p w14:paraId="31685BB7" w14:textId="77777777" w:rsidR="00C33CD9" w:rsidRDefault="00C33CD9" w:rsidP="00C33CD9">
            <w:pPr>
              <w:pStyle w:val="a9"/>
              <w:numPr>
                <w:ilvl w:val="0"/>
                <w:numId w:val="20"/>
              </w:numPr>
              <w:rPr>
                <w:sz w:val="24"/>
                <w:szCs w:val="24"/>
                <w:lang w:val="ro-RO"/>
              </w:rPr>
            </w:pPr>
            <w:r w:rsidRPr="00C33CD9">
              <w:rPr>
                <w:sz w:val="24"/>
                <w:szCs w:val="24"/>
                <w:lang w:val="ro-RO"/>
              </w:rPr>
              <w:t>Ajustarea sistemului planului de organizare, a schema de finanțare și a programului de educație</w:t>
            </w:r>
          </w:p>
          <w:p w14:paraId="0B935326" w14:textId="77777777" w:rsidR="00C33CD9" w:rsidRDefault="00C33CD9" w:rsidP="00C33CD9">
            <w:pPr>
              <w:pStyle w:val="a9"/>
              <w:numPr>
                <w:ilvl w:val="0"/>
                <w:numId w:val="20"/>
              </w:numPr>
              <w:rPr>
                <w:sz w:val="24"/>
                <w:szCs w:val="24"/>
                <w:lang w:val="ro-RO"/>
              </w:rPr>
            </w:pPr>
            <w:r w:rsidRPr="00C33CD9">
              <w:rPr>
                <w:sz w:val="24"/>
                <w:szCs w:val="24"/>
                <w:lang w:val="ro-RO"/>
              </w:rPr>
              <w:t>Raportarea privind implementarea  planului de organizare, informații privind schema de finanțare, implementarea programului de educația pentru anul curent</w:t>
            </w:r>
          </w:p>
          <w:p w14:paraId="2DE9A036" w14:textId="77777777" w:rsidR="00C33CD9" w:rsidRPr="00C33CD9" w:rsidRDefault="00C33CD9" w:rsidP="00C33CD9">
            <w:pPr>
              <w:pStyle w:val="a9"/>
              <w:numPr>
                <w:ilvl w:val="0"/>
                <w:numId w:val="20"/>
              </w:numPr>
              <w:rPr>
                <w:sz w:val="24"/>
                <w:szCs w:val="24"/>
                <w:lang w:val="ro-RO"/>
              </w:rPr>
            </w:pPr>
            <w:r w:rsidRPr="00C33CD9">
              <w:rPr>
                <w:sz w:val="24"/>
                <w:szCs w:val="24"/>
                <w:lang w:val="ro-RO"/>
              </w:rPr>
              <w:t>Răspunderea pentru încălcări</w:t>
            </w:r>
            <w:r>
              <w:rPr>
                <w:sz w:val="24"/>
                <w:szCs w:val="24"/>
                <w:lang w:val="ro-RO"/>
              </w:rPr>
              <w:t>.</w:t>
            </w:r>
          </w:p>
          <w:p w14:paraId="76B4156D" w14:textId="77777777" w:rsidR="00C33CD9" w:rsidRDefault="00C33CD9" w:rsidP="00C33CD9">
            <w:pPr>
              <w:ind w:firstLine="664"/>
              <w:rPr>
                <w:sz w:val="24"/>
                <w:szCs w:val="24"/>
                <w:lang w:val="ro-RO"/>
              </w:rPr>
            </w:pPr>
          </w:p>
          <w:p w14:paraId="75A6E052" w14:textId="77777777" w:rsidR="00C33CD9" w:rsidRPr="00FB1D3B" w:rsidRDefault="00C33CD9" w:rsidP="00C33CD9">
            <w:pPr>
              <w:pStyle w:val="ac"/>
              <w:ind w:firstLine="522"/>
            </w:pPr>
            <w:r w:rsidRPr="006E2040">
              <w:t>Sistemul de depozit reprezintă un set de măsuri organizatorice, administrative, financiare, informaționale și de altă natură, implementate de administratorul sistemului de depozit pentru a se asigura că depozitul, plătit în momentul vânzării unui produs pentru care a fost constituit un depozit, se ramburse</w:t>
            </w:r>
            <w:r>
              <w:t xml:space="preserve">ază consumatorului ambalajului </w:t>
            </w:r>
            <w:r w:rsidRPr="006E2040">
              <w:t>returnat producătorului și/sau importatorului este reutilizat și că deșeurile provenite din ambalajele de unică folosință sunt gestionate în conformitate cu prioritățile de gestionare a deșeurilor</w:t>
            </w:r>
            <w:r>
              <w:t xml:space="preserve">. </w:t>
            </w:r>
            <w:r w:rsidRPr="00FB1D3B">
              <w:t>S</w:t>
            </w:r>
            <w:r>
              <w:t>istemul depozit</w:t>
            </w:r>
            <w:r w:rsidRPr="00FB1D3B">
              <w:t xml:space="preserve"> constă în adăugarea unui mic depozit suplimentar peste prețul băuturii – cum ar fi cele din recipiente de plastic, sticlă și doze de aluminiu – care este rambursat consumatorului atunci când returnează recipientul de băutură gol.</w:t>
            </w:r>
          </w:p>
          <w:p w14:paraId="1DF88F05" w14:textId="77777777" w:rsidR="00C33CD9" w:rsidRPr="00FC0DA9" w:rsidRDefault="00C33CD9" w:rsidP="00C33CD9">
            <w:pPr>
              <w:pStyle w:val="3"/>
              <w:rPr>
                <w:bCs/>
              </w:rPr>
            </w:pPr>
            <w:r w:rsidRPr="00FC0DA9">
              <w:rPr>
                <w:bCs/>
              </w:rPr>
              <w:t>Se propune ca prin intermediul sistemului depozit,  producătorii sau cei ce plasează  pe piață produse ambalate, să asigure preluarea unui depozit de la distribuitorii sau vânzătorii de produse ambalate în ambalaje de unică folosință și reutilizabile și să îl returneze vânzătorilor de ambalaje atunci când aceștia returnează deșeurile de ambalaje colectate, pentru   următoarele produse:  piața bere, cocktailuri de bere, cidru, cidru de pere, vin de fructe, cocktail-uri cu vin, băuturi cu vin din fructe, alte băuturi fermentate, cocktail-uri alcoolice și băuturi nealcoolice (băuturi răcoritoare, apă de masă), apă minerală naturală, apă de izvor, apă potabilă ambalată, suc, nectar, ambalat în următoarele ambalaje cu o singură porție, cu o capacitate mai mare de o zecime de litru, dar mai mică de trei litri:</w:t>
            </w:r>
          </w:p>
          <w:p w14:paraId="63937593" w14:textId="77777777" w:rsidR="00C33CD9" w:rsidRPr="003603F1" w:rsidRDefault="00C33CD9" w:rsidP="00C33CD9">
            <w:pPr>
              <w:ind w:firstLine="522"/>
              <w:rPr>
                <w:bCs/>
                <w:sz w:val="24"/>
                <w:szCs w:val="24"/>
                <w:lang w:val="ro-RO"/>
              </w:rPr>
            </w:pPr>
            <w:r w:rsidRPr="003603F1">
              <w:rPr>
                <w:bCs/>
                <w:sz w:val="24"/>
                <w:szCs w:val="24"/>
                <w:lang w:val="ro-RO"/>
              </w:rPr>
              <w:t>a)</w:t>
            </w:r>
            <w:r w:rsidRPr="003603F1">
              <w:rPr>
                <w:bCs/>
                <w:sz w:val="24"/>
                <w:szCs w:val="24"/>
                <w:lang w:val="ro-RO"/>
              </w:rPr>
              <w:tab/>
              <w:t>sticlă;</w:t>
            </w:r>
          </w:p>
          <w:p w14:paraId="2B128289" w14:textId="77777777" w:rsidR="00C33CD9" w:rsidRPr="003603F1" w:rsidRDefault="00C33CD9" w:rsidP="00C33CD9">
            <w:pPr>
              <w:ind w:firstLine="522"/>
              <w:rPr>
                <w:bCs/>
                <w:sz w:val="24"/>
                <w:szCs w:val="24"/>
                <w:lang w:val="ro-RO"/>
              </w:rPr>
            </w:pPr>
            <w:r>
              <w:rPr>
                <w:bCs/>
                <w:sz w:val="24"/>
                <w:szCs w:val="24"/>
                <w:lang w:val="ro-RO"/>
              </w:rPr>
              <w:t>b)</w:t>
            </w:r>
            <w:r w:rsidRPr="003603F1">
              <w:rPr>
                <w:bCs/>
                <w:sz w:val="24"/>
                <w:szCs w:val="24"/>
                <w:lang w:val="ro-RO"/>
              </w:rPr>
              <w:t>PET (tereftalat de polietilen);</w:t>
            </w:r>
          </w:p>
          <w:p w14:paraId="00269E76" w14:textId="77777777" w:rsidR="00C33CD9" w:rsidRDefault="00C33CD9" w:rsidP="00C33CD9">
            <w:pPr>
              <w:ind w:firstLine="522"/>
              <w:rPr>
                <w:bCs/>
                <w:sz w:val="24"/>
                <w:szCs w:val="24"/>
                <w:lang w:val="ro-RO"/>
              </w:rPr>
            </w:pPr>
            <w:r w:rsidRPr="003603F1">
              <w:rPr>
                <w:bCs/>
                <w:sz w:val="24"/>
                <w:szCs w:val="24"/>
                <w:lang w:val="ro-RO"/>
              </w:rPr>
              <w:t>c)</w:t>
            </w:r>
            <w:r w:rsidRPr="003603F1">
              <w:rPr>
                <w:bCs/>
                <w:sz w:val="24"/>
                <w:szCs w:val="24"/>
                <w:lang w:val="ro-RO"/>
              </w:rPr>
              <w:tab/>
              <w:t>metal.</w:t>
            </w:r>
          </w:p>
          <w:p w14:paraId="6499BC6D" w14:textId="77777777" w:rsidR="00C33CD9" w:rsidRDefault="00C33CD9" w:rsidP="00C33CD9">
            <w:pPr>
              <w:pStyle w:val="21"/>
              <w:rPr>
                <w:color w:val="auto"/>
              </w:rPr>
            </w:pPr>
          </w:p>
          <w:p w14:paraId="78DE9E34" w14:textId="77777777" w:rsidR="00C33CD9" w:rsidRPr="00FB1D3B" w:rsidRDefault="00C33CD9" w:rsidP="00C33CD9">
            <w:pPr>
              <w:pStyle w:val="21"/>
              <w:rPr>
                <w:color w:val="auto"/>
              </w:rPr>
            </w:pPr>
            <w:r w:rsidRPr="00FB1D3B">
              <w:rPr>
                <w:color w:val="auto"/>
              </w:rPr>
              <w:t>Sistemul de depozit se încadrează sub umbrela responsabilității extinse a producătorului ca un instrument economic extrem de eficient. Aplicarea sistemului depozit (SD) se limitează la unele produse și a fost conceput pentru recipientele băuturilor. Principiul SD conferă o valoare monetară fiecărui ambalaj pentru băuturi pentru a crește rata de colectare și reciclare și a reduce cantitatea de deșeuri eliminată. Unul dintre principalele obiective ale sistemului este acela de a schimba mentalitatea și comportamentul consumatorilor finali, astfel încât aceștia să perceapă recipientele pentru băuturi ca articole de consum și nu ca deșeuri.</w:t>
            </w:r>
          </w:p>
          <w:p w14:paraId="0F681BBE" w14:textId="77777777" w:rsidR="00C33CD9" w:rsidRPr="00FB1D3B" w:rsidRDefault="00C33CD9" w:rsidP="00C33CD9">
            <w:pPr>
              <w:ind w:firstLine="664"/>
              <w:rPr>
                <w:sz w:val="24"/>
                <w:szCs w:val="24"/>
                <w:lang w:val="ro-RO"/>
              </w:rPr>
            </w:pPr>
            <w:r>
              <w:rPr>
                <w:sz w:val="24"/>
                <w:szCs w:val="24"/>
                <w:lang w:val="ro-RO"/>
              </w:rPr>
              <w:t>Suplimentar, necesită a fi menționat că, î</w:t>
            </w:r>
            <w:r w:rsidRPr="00FB1D3B">
              <w:rPr>
                <w:sz w:val="24"/>
                <w:szCs w:val="24"/>
                <w:lang w:val="ro-RO"/>
              </w:rPr>
              <w:t>n legislația europeană și cea națională urmează a fi incluse obiective ambițioase privind conținutul reciclat ceea ce va asigura că deșeurile au valoare, permițând extinderea în continuare a reciclării. Acest lucru aduce beneficii mediului, economiei și reduce dependența de importurile de materii prime fosile virgine pentru a produce materiale plastice.</w:t>
            </w:r>
          </w:p>
          <w:p w14:paraId="27FCFC66" w14:textId="77777777" w:rsidR="006E2040" w:rsidRPr="00BA709E" w:rsidRDefault="00C33CD9" w:rsidP="00C33CD9">
            <w:pPr>
              <w:ind w:firstLine="666"/>
              <w:rPr>
                <w:sz w:val="24"/>
                <w:szCs w:val="24"/>
                <w:lang w:val="ro-RO"/>
              </w:rPr>
            </w:pPr>
            <w:r w:rsidRPr="00FB1D3B">
              <w:rPr>
                <w:sz w:val="24"/>
                <w:szCs w:val="24"/>
                <w:lang w:val="ro-RO"/>
              </w:rPr>
              <w:t>Stabilirea țintelor privind conținutul reciclat pot stimula sporirea conținutului de material reciclat în produse. Dezvoltarea unei economii circulare pentru materiale plastice necesită colectare, sortare și direcționare a mai multor deșeuri către reciclare, indiferent de originea deșeurilor.</w:t>
            </w:r>
          </w:p>
        </w:tc>
      </w:tr>
      <w:tr w:rsidR="008103CD" w:rsidRPr="00BA709E" w14:paraId="0E983AA1"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07B10" w14:textId="77777777" w:rsidR="00457A8E" w:rsidRPr="00BA709E" w:rsidRDefault="00457A8E" w:rsidP="00250584">
            <w:pPr>
              <w:ind w:firstLine="0"/>
              <w:jc w:val="left"/>
              <w:rPr>
                <w:bCs/>
                <w:sz w:val="24"/>
                <w:szCs w:val="24"/>
                <w:highlight w:val="yellow"/>
                <w:lang w:val="ro-RO"/>
              </w:rPr>
            </w:pPr>
            <w:r w:rsidRPr="00BA709E">
              <w:rPr>
                <w:bCs/>
                <w:sz w:val="24"/>
                <w:szCs w:val="24"/>
                <w:lang w:val="ro-RO"/>
              </w:rPr>
              <w:lastRenderedPageBreak/>
              <w:t>c) Expuneți opțiunile alternative analizate sau explicați motivul de ce acestea nu au fost luate în considerare</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4ADE789" w14:textId="77777777" w:rsidR="00457A8E" w:rsidRPr="00BA709E" w:rsidRDefault="00457A8E" w:rsidP="00250584">
            <w:pPr>
              <w:ind w:firstLine="0"/>
              <w:jc w:val="left"/>
              <w:rPr>
                <w:sz w:val="24"/>
                <w:szCs w:val="24"/>
                <w:lang w:val="ro-RO"/>
              </w:rPr>
            </w:pPr>
          </w:p>
        </w:tc>
      </w:tr>
      <w:tr w:rsidR="00457A8E" w:rsidRPr="00BA709E" w14:paraId="0E58999A"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0DED63" w14:textId="77777777" w:rsidR="00457A8E" w:rsidRPr="00BA709E" w:rsidRDefault="006E2040" w:rsidP="00250584">
            <w:pPr>
              <w:ind w:firstLine="0"/>
              <w:jc w:val="left"/>
              <w:rPr>
                <w:sz w:val="24"/>
                <w:szCs w:val="24"/>
                <w:highlight w:val="yellow"/>
                <w:lang w:val="ro-RO"/>
              </w:rPr>
            </w:pPr>
            <w:r>
              <w:rPr>
                <w:sz w:val="24"/>
                <w:szCs w:val="24"/>
                <w:lang w:val="ro-MD"/>
              </w:rPr>
              <w:t>Opinii alternative nu au fost identificate.</w:t>
            </w:r>
          </w:p>
        </w:tc>
      </w:tr>
      <w:tr w:rsidR="00457A8E" w:rsidRPr="00BA709E" w14:paraId="1C33C101"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969FB" w14:textId="77777777" w:rsidR="00457A8E" w:rsidRPr="00BA709E" w:rsidRDefault="00457A8E" w:rsidP="00250584">
            <w:pPr>
              <w:ind w:firstLine="0"/>
              <w:jc w:val="left"/>
              <w:rPr>
                <w:sz w:val="24"/>
                <w:szCs w:val="24"/>
                <w:lang w:val="ro-RO"/>
              </w:rPr>
            </w:pPr>
            <w:r w:rsidRPr="00BA709E">
              <w:rPr>
                <w:b/>
                <w:bCs/>
                <w:sz w:val="24"/>
                <w:szCs w:val="24"/>
                <w:lang w:val="ro-RO"/>
              </w:rPr>
              <w:lastRenderedPageBreak/>
              <w:t>4. Analiza impacturilor opţiunilor</w:t>
            </w:r>
          </w:p>
        </w:tc>
      </w:tr>
      <w:tr w:rsidR="008103CD" w:rsidRPr="00BA709E" w14:paraId="570C329E"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FF425" w14:textId="77777777" w:rsidR="00457A8E" w:rsidRPr="00BA709E" w:rsidRDefault="00457A8E" w:rsidP="00250584">
            <w:pPr>
              <w:ind w:firstLine="0"/>
              <w:jc w:val="left"/>
              <w:rPr>
                <w:bCs/>
                <w:sz w:val="24"/>
                <w:szCs w:val="24"/>
                <w:lang w:val="ro-RO"/>
              </w:rPr>
            </w:pPr>
            <w:r w:rsidRPr="00BA709E">
              <w:rPr>
                <w:bCs/>
                <w:sz w:val="24"/>
                <w:szCs w:val="24"/>
                <w:lang w:val="ro-RO"/>
              </w:rPr>
              <w:t>a) Expuneți efectele negative şi pozitive ale stării actuale și evoluția acestora în viitor, care vor sta la baza calculării impacturilor opțiunii recomandate</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C5EC6F" w14:textId="77777777" w:rsidR="00457A8E" w:rsidRPr="00BA709E" w:rsidRDefault="00457A8E" w:rsidP="00250584">
            <w:pPr>
              <w:ind w:firstLine="0"/>
              <w:jc w:val="left"/>
              <w:rPr>
                <w:sz w:val="24"/>
                <w:szCs w:val="24"/>
                <w:lang w:val="ro-RO"/>
              </w:rPr>
            </w:pPr>
          </w:p>
        </w:tc>
      </w:tr>
      <w:tr w:rsidR="00457A8E" w:rsidRPr="00BA709E" w14:paraId="55E774CF"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FEBE81" w14:textId="77777777" w:rsidR="006E2040" w:rsidRDefault="006E2040" w:rsidP="00661B5A">
            <w:pPr>
              <w:pStyle w:val="ac"/>
            </w:pPr>
            <w:r w:rsidRPr="006E2040">
              <w:t>Efectele n</w:t>
            </w:r>
            <w:r w:rsidR="00661B5A">
              <w:t xml:space="preserve">egative ale stării actuale sunt asociate cu cantități sporite de deșeuri de ambalaje, care sunt fie eliminate la depozitele de deșeuri, fie abandonate, deoarece rata de colectare a acestora este redusă. Acest fapt este determinat și de sistemul de colectare selectivă subdezvoltat și de lipsa unei motivații pentru consumatori de a selecta deșeurile de ambalaje și a le aduce la punctele de colectare. Pe lîngă faptul că infrastructura existentă asigură rate mici de colectare, deșeurile colectate sunt de o calitate proastă, fiind de multe ori contaminate sau murdare și amestecate cu alte tipuri de deșeuri. </w:t>
            </w:r>
          </w:p>
          <w:p w14:paraId="0CDF0BF2" w14:textId="77777777" w:rsidR="00457A8E" w:rsidRPr="00A81D83" w:rsidRDefault="00661B5A" w:rsidP="00A81D83">
            <w:pPr>
              <w:pStyle w:val="lf"/>
              <w:rPr>
                <w:rFonts w:eastAsia="Times New Roman"/>
                <w:lang w:val="ro-RO" w:eastAsia="en-US"/>
              </w:rPr>
            </w:pPr>
            <w:r w:rsidRPr="00A81D83">
              <w:rPr>
                <w:rFonts w:eastAsia="Times New Roman"/>
                <w:lang w:val="ro-RO" w:eastAsia="en-US"/>
              </w:rPr>
              <w:t xml:space="preserve">Suplimentar, deșeurile de ambalaje reprezintă o resursă de materii prime alternative, care, în prezent nu este colectată și valorificată. </w:t>
            </w:r>
          </w:p>
          <w:p w14:paraId="63D9F56A" w14:textId="77777777" w:rsidR="00A81D83" w:rsidRDefault="00A81D83" w:rsidP="006E2040">
            <w:pPr>
              <w:ind w:firstLine="0"/>
              <w:jc w:val="left"/>
              <w:rPr>
                <w:sz w:val="24"/>
                <w:szCs w:val="24"/>
                <w:lang w:val="ro-RO"/>
              </w:rPr>
            </w:pPr>
          </w:p>
          <w:p w14:paraId="3BA8CDAF" w14:textId="77777777" w:rsidR="00A81D83" w:rsidRPr="00BA709E" w:rsidRDefault="00A81D83" w:rsidP="006E2040">
            <w:pPr>
              <w:ind w:firstLine="0"/>
              <w:jc w:val="left"/>
              <w:rPr>
                <w:sz w:val="24"/>
                <w:szCs w:val="24"/>
                <w:lang w:val="ro-RO"/>
              </w:rPr>
            </w:pPr>
            <w:r w:rsidRPr="00A81D83">
              <w:rPr>
                <w:i/>
                <w:sz w:val="24"/>
                <w:szCs w:val="24"/>
                <w:lang w:val="ro-RO"/>
              </w:rPr>
              <w:t>Efecte pozitive</w:t>
            </w:r>
            <w:r w:rsidRPr="00A81D83">
              <w:rPr>
                <w:sz w:val="24"/>
                <w:szCs w:val="24"/>
                <w:lang w:val="ro-RO"/>
              </w:rPr>
              <w:t xml:space="preserve"> - Nu există efecte pozitive prin continuarea stării actuale.</w:t>
            </w:r>
          </w:p>
        </w:tc>
      </w:tr>
      <w:tr w:rsidR="008103CD" w:rsidRPr="00BA709E" w14:paraId="0DDD19CD"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918EB" w14:textId="77777777" w:rsidR="00457A8E" w:rsidRPr="00BA709E" w:rsidRDefault="00457A8E" w:rsidP="00250584">
            <w:pPr>
              <w:ind w:firstLine="0"/>
              <w:jc w:val="left"/>
              <w:rPr>
                <w:sz w:val="24"/>
                <w:szCs w:val="24"/>
                <w:lang w:val="ro-RO"/>
              </w:rPr>
            </w:pPr>
            <w:r w:rsidRPr="00BA709E">
              <w:rPr>
                <w:bCs/>
                <w:sz w:val="24"/>
                <w:szCs w:val="24"/>
                <w:lang w:val="ro-RO"/>
              </w:rPr>
              <w:t>b</w:t>
            </w:r>
            <w:r w:rsidRPr="00BA709E">
              <w:rPr>
                <w:bCs/>
                <w:sz w:val="24"/>
                <w:szCs w:val="24"/>
                <w:vertAlign w:val="superscript"/>
                <w:lang w:val="ro-RO"/>
              </w:rPr>
              <w:t>1</w:t>
            </w:r>
            <w:r w:rsidRPr="00BA709E">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BDC28A" w14:textId="77777777" w:rsidR="00457A8E" w:rsidRPr="00BA709E" w:rsidRDefault="00457A8E" w:rsidP="00250584">
            <w:pPr>
              <w:ind w:firstLine="0"/>
              <w:jc w:val="left"/>
              <w:rPr>
                <w:sz w:val="24"/>
                <w:szCs w:val="24"/>
                <w:lang w:val="ro-RO"/>
              </w:rPr>
            </w:pPr>
          </w:p>
        </w:tc>
      </w:tr>
      <w:tr w:rsidR="00457A8E" w:rsidRPr="00BA709E" w14:paraId="09F94ACC"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339600" w14:textId="77777777" w:rsidR="00A42F52" w:rsidRDefault="00661B5A" w:rsidP="00661B5A">
            <w:pPr>
              <w:pStyle w:val="2"/>
            </w:pPr>
            <w:r w:rsidRPr="00661B5A">
              <w:lastRenderedPageBreak/>
              <w:t>Impactul asupra gestionarilor de deșeuri</w:t>
            </w:r>
          </w:p>
          <w:p w14:paraId="340E779C" w14:textId="77777777" w:rsidR="00661B5A" w:rsidRPr="00661B5A" w:rsidRDefault="00661B5A" w:rsidP="00661B5A">
            <w:pPr>
              <w:pStyle w:val="a9"/>
              <w:numPr>
                <w:ilvl w:val="0"/>
                <w:numId w:val="13"/>
              </w:numPr>
              <w:jc w:val="left"/>
              <w:rPr>
                <w:sz w:val="24"/>
                <w:szCs w:val="24"/>
                <w:lang w:val="ro-RO"/>
              </w:rPr>
            </w:pPr>
            <w:r w:rsidRPr="00661B5A">
              <w:rPr>
                <w:sz w:val="24"/>
                <w:szCs w:val="24"/>
                <w:lang w:val="ro-RO"/>
              </w:rPr>
              <w:t xml:space="preserve">Administratorii deșeurilor vor beneficia de costuri operaționale optimizate, deoarece ambalajele nu vor fi amestecate cu alte fluxuri de deșeuri. </w:t>
            </w:r>
          </w:p>
          <w:p w14:paraId="2A0F6E05" w14:textId="77777777" w:rsidR="00661B5A" w:rsidRPr="00661B5A" w:rsidRDefault="00661B5A" w:rsidP="00661B5A">
            <w:pPr>
              <w:pStyle w:val="a9"/>
              <w:numPr>
                <w:ilvl w:val="0"/>
                <w:numId w:val="13"/>
              </w:numPr>
              <w:jc w:val="left"/>
              <w:rPr>
                <w:sz w:val="24"/>
                <w:szCs w:val="24"/>
                <w:lang w:val="ro-RO"/>
              </w:rPr>
            </w:pPr>
            <w:r w:rsidRPr="00661B5A">
              <w:rPr>
                <w:sz w:val="24"/>
                <w:szCs w:val="24"/>
                <w:lang w:val="ro-RO"/>
              </w:rPr>
              <w:t xml:space="preserve">Materialul de calitate superioară va permite prețuri de vânzare mai bune și va stimula piața de reciclare. </w:t>
            </w:r>
          </w:p>
          <w:p w14:paraId="2CFC8132" w14:textId="77777777" w:rsidR="00661B5A" w:rsidRPr="00661B5A" w:rsidRDefault="00661B5A" w:rsidP="00661B5A">
            <w:pPr>
              <w:pStyle w:val="a9"/>
              <w:numPr>
                <w:ilvl w:val="0"/>
                <w:numId w:val="13"/>
              </w:numPr>
              <w:jc w:val="left"/>
              <w:rPr>
                <w:sz w:val="24"/>
                <w:szCs w:val="24"/>
                <w:lang w:val="ro-RO"/>
              </w:rPr>
            </w:pPr>
            <w:r w:rsidRPr="00661B5A">
              <w:rPr>
                <w:sz w:val="24"/>
                <w:szCs w:val="24"/>
                <w:lang w:val="ro-RO"/>
              </w:rPr>
              <w:t xml:space="preserve">Reducerea cantității de deșeuri eliminată prin depozitare </w:t>
            </w:r>
          </w:p>
          <w:p w14:paraId="6DF52AA9" w14:textId="77777777" w:rsidR="00661B5A" w:rsidRPr="00661B5A" w:rsidRDefault="00661B5A" w:rsidP="00661B5A">
            <w:pPr>
              <w:pStyle w:val="lf"/>
              <w:numPr>
                <w:ilvl w:val="0"/>
                <w:numId w:val="13"/>
              </w:numPr>
              <w:rPr>
                <w:rFonts w:eastAsia="Times New Roman"/>
                <w:lang w:val="ro-RO" w:eastAsia="en-US"/>
              </w:rPr>
            </w:pPr>
            <w:r w:rsidRPr="00661B5A">
              <w:rPr>
                <w:rFonts w:eastAsia="Times New Roman"/>
                <w:lang w:val="ro-RO" w:eastAsia="en-US"/>
              </w:rPr>
              <w:t>Tratarea deșeurilor de ambalaje va deveni o piață de investiții atractivă pentru instalațiile de gestionare a deșeurilor și pentru reciclatori.</w:t>
            </w:r>
          </w:p>
          <w:p w14:paraId="71728AE1" w14:textId="77777777" w:rsidR="00A42F52" w:rsidRDefault="00661B5A" w:rsidP="00D049DB">
            <w:pPr>
              <w:ind w:firstLine="0"/>
              <w:jc w:val="left"/>
              <w:rPr>
                <w:i/>
                <w:sz w:val="24"/>
                <w:szCs w:val="24"/>
                <w:lang w:val="ro-RO"/>
              </w:rPr>
            </w:pPr>
            <w:r w:rsidRPr="00661B5A">
              <w:rPr>
                <w:i/>
                <w:sz w:val="24"/>
                <w:szCs w:val="24"/>
                <w:lang w:val="ro-RO"/>
              </w:rPr>
              <w:t xml:space="preserve">Impactul asupra sectorului privat </w:t>
            </w:r>
          </w:p>
          <w:p w14:paraId="5246D2BF"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 xml:space="preserve">Producătorii și importatorii se vor confrunta cu o creștere a costurilor de producție pentru băuturi datorată taxei pentru acoperirea cheltuielilor Operatorului </w:t>
            </w:r>
            <w:r>
              <w:rPr>
                <w:sz w:val="24"/>
                <w:szCs w:val="24"/>
                <w:lang w:val="ro-RO"/>
              </w:rPr>
              <w:t>SD</w:t>
            </w:r>
            <w:r w:rsidRPr="00661B5A">
              <w:rPr>
                <w:sz w:val="24"/>
                <w:szCs w:val="24"/>
                <w:lang w:val="ro-RO"/>
              </w:rPr>
              <w:t xml:space="preserve">. </w:t>
            </w:r>
          </w:p>
          <w:p w14:paraId="020FD0B8"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 xml:space="preserve">Producătorii, importatorii și comercianții cu amănuntul vor trebui să își adapteze fluxurile de proces pentru a îndeplini cerințele </w:t>
            </w:r>
            <w:r>
              <w:rPr>
                <w:sz w:val="24"/>
                <w:szCs w:val="24"/>
                <w:lang w:val="ro-RO"/>
              </w:rPr>
              <w:t>SD</w:t>
            </w:r>
            <w:r w:rsidRPr="00661B5A">
              <w:rPr>
                <w:sz w:val="24"/>
                <w:szCs w:val="24"/>
                <w:lang w:val="ro-RO"/>
              </w:rPr>
              <w:t xml:space="preserve"> stabilite de lege. </w:t>
            </w:r>
          </w:p>
          <w:p w14:paraId="33C6C277" w14:textId="77777777" w:rsidR="00661B5A" w:rsidRPr="00661B5A" w:rsidRDefault="00661B5A" w:rsidP="006A1F90">
            <w:pPr>
              <w:pStyle w:val="a9"/>
              <w:numPr>
                <w:ilvl w:val="0"/>
                <w:numId w:val="14"/>
              </w:numPr>
              <w:jc w:val="left"/>
              <w:rPr>
                <w:sz w:val="24"/>
                <w:szCs w:val="24"/>
                <w:lang w:val="ro-RO"/>
              </w:rPr>
            </w:pPr>
            <w:r w:rsidRPr="00661B5A">
              <w:rPr>
                <w:sz w:val="24"/>
                <w:szCs w:val="24"/>
                <w:lang w:val="ro-RO"/>
              </w:rPr>
              <w:t xml:space="preserve">Producătorii și importatorii de băuturi </w:t>
            </w:r>
            <w:r w:rsidR="006A1F90">
              <w:rPr>
                <w:sz w:val="24"/>
                <w:szCs w:val="24"/>
                <w:lang w:val="ro-RO"/>
              </w:rPr>
              <w:t xml:space="preserve">își </w:t>
            </w:r>
            <w:r w:rsidRPr="00661B5A">
              <w:rPr>
                <w:sz w:val="24"/>
                <w:szCs w:val="24"/>
                <w:lang w:val="ro-RO"/>
              </w:rPr>
              <w:t xml:space="preserve">vor adapteze etichetele produselor pentru a se conforma cu instrucțiunile de marcare ale </w:t>
            </w:r>
            <w:r>
              <w:rPr>
                <w:sz w:val="24"/>
                <w:szCs w:val="24"/>
                <w:lang w:val="ro-RO"/>
              </w:rPr>
              <w:t>SD</w:t>
            </w:r>
            <w:r w:rsidRPr="00661B5A">
              <w:rPr>
                <w:sz w:val="24"/>
                <w:szCs w:val="24"/>
                <w:lang w:val="ro-RO"/>
              </w:rPr>
              <w:t xml:space="preserve"> - sigla de depozit și un cod de bare care poate fi citit de automatele </w:t>
            </w:r>
            <w:r w:rsidR="006A1F90" w:rsidRPr="006A1F90">
              <w:rPr>
                <w:sz w:val="24"/>
                <w:szCs w:val="24"/>
                <w:lang w:val="ro-RO"/>
              </w:rPr>
              <w:t xml:space="preserve">reversibile </w:t>
            </w:r>
            <w:r w:rsidR="006A1F90">
              <w:rPr>
                <w:sz w:val="24"/>
                <w:szCs w:val="24"/>
                <w:lang w:val="ro-RO"/>
              </w:rPr>
              <w:t xml:space="preserve">(taromate), </w:t>
            </w:r>
            <w:r w:rsidRPr="00661B5A">
              <w:rPr>
                <w:sz w:val="24"/>
                <w:szCs w:val="24"/>
                <w:lang w:val="ro-RO"/>
              </w:rPr>
              <w:t xml:space="preserve">liniile de numărare, care indică că articolul aparține </w:t>
            </w:r>
            <w:r>
              <w:rPr>
                <w:sz w:val="24"/>
                <w:szCs w:val="24"/>
                <w:lang w:val="ro-RO"/>
              </w:rPr>
              <w:t>SD</w:t>
            </w:r>
            <w:r w:rsidRPr="00661B5A">
              <w:rPr>
                <w:sz w:val="24"/>
                <w:szCs w:val="24"/>
                <w:lang w:val="ro-RO"/>
              </w:rPr>
              <w:t xml:space="preserve"> și confirmă identitatea pachetului returnat sau a unității de stocare. </w:t>
            </w:r>
          </w:p>
          <w:p w14:paraId="6B1F1BBB"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Modificarea cerințelor de etichetare pentru unele sau pentru toate produsele importate.</w:t>
            </w:r>
          </w:p>
          <w:p w14:paraId="2377D73C"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 xml:space="preserve">Producătorii și importatorii vor trebui, de asemenea, să raporteze informațiile privind plasarea pe piață la nivel de articol și să plătească depozitele pe baza cantității plasate pe piață către operatorul </w:t>
            </w:r>
            <w:r>
              <w:rPr>
                <w:sz w:val="24"/>
                <w:szCs w:val="24"/>
                <w:lang w:val="ro-RO"/>
              </w:rPr>
              <w:t>SD</w:t>
            </w:r>
            <w:r w:rsidRPr="00661B5A">
              <w:rPr>
                <w:sz w:val="24"/>
                <w:szCs w:val="24"/>
                <w:lang w:val="ro-RO"/>
              </w:rPr>
              <w:t>.</w:t>
            </w:r>
          </w:p>
          <w:p w14:paraId="4788EDD7"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Imaginea companiilor  va fi îmbunătățită față de clienți și consumatori, ca urmare a adaptării afacerii la o economie circulară. Aceste companii vor putea împărtăși informații despre ratele mari de reciclare în rapoartele lor de sustenabilitate. În plus, materialul colectat de înaltă calitate, de exemplu, de calitate alimentară, poate permite procese cum ar fi reciclarea din sticlă la sticlă.</w:t>
            </w:r>
          </w:p>
          <w:p w14:paraId="6B193129"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 xml:space="preserve">Comercianții cu amănuntul vor avea de transformat spațiul comercial pentru a înființa puncte de returnare a ambalajelor </w:t>
            </w:r>
          </w:p>
          <w:p w14:paraId="407FECDA"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În funcție de configurația operațională (automatizată sau manuală), comercianții cu amănuntul pot fi obligați să investească în infrastructura de colectare</w:t>
            </w:r>
          </w:p>
          <w:p w14:paraId="06AE43E3" w14:textId="77777777" w:rsidR="00661B5A" w:rsidRPr="00661B5A" w:rsidRDefault="00661B5A" w:rsidP="00661B5A">
            <w:pPr>
              <w:pStyle w:val="a9"/>
              <w:numPr>
                <w:ilvl w:val="0"/>
                <w:numId w:val="14"/>
              </w:numPr>
              <w:jc w:val="left"/>
              <w:rPr>
                <w:sz w:val="24"/>
                <w:szCs w:val="24"/>
                <w:lang w:val="ro-RO"/>
              </w:rPr>
            </w:pPr>
            <w:r w:rsidRPr="00661B5A">
              <w:rPr>
                <w:sz w:val="24"/>
                <w:szCs w:val="24"/>
                <w:lang w:val="ro-RO"/>
              </w:rPr>
              <w:t>Aceasta poate fi privită ca o strategie de afaceri pentru a oferi confort clienților și, potențial, de creștere a vânzările. O rețea de colectare bine stabilită în zonele de vânzare cu amănuntul poate atrage și alți clienți, care ar veni să returneze containerele și să cumpere alte produse. Returnarea ambalajelor va deveni o activitate larg adoptată; comoditatea returnării va avea un impact asupra alegerii locației pentru cumpărături de către consumatori.</w:t>
            </w:r>
          </w:p>
          <w:p w14:paraId="666F0306" w14:textId="77777777" w:rsidR="00661B5A" w:rsidRDefault="00661B5A" w:rsidP="00661B5A">
            <w:pPr>
              <w:pStyle w:val="lf"/>
              <w:numPr>
                <w:ilvl w:val="0"/>
                <w:numId w:val="14"/>
              </w:numPr>
              <w:rPr>
                <w:rFonts w:eastAsia="Times New Roman"/>
                <w:lang w:val="ro-RO" w:eastAsia="en-US"/>
              </w:rPr>
            </w:pPr>
            <w:r w:rsidRPr="00661B5A">
              <w:rPr>
                <w:rFonts w:eastAsia="Times New Roman"/>
                <w:lang w:val="ro-RO" w:eastAsia="en-US"/>
              </w:rPr>
              <w:t xml:space="preserve">Personalul comerciantului cu amănuntul se va ocupa de retur și va plăti depozitele consumatorilor. Ambalajele returnate trebuie să fie ambalate în pachete de transport durabile și depozitate într-un loc sigur în zona din spate. Aceste costuri ale forței de muncă, materialului de ambalare și spațiului sunt compensate de obicei comercianților cu amănuntul prin taxele de manipulare plătite de operatorul </w:t>
            </w:r>
            <w:r>
              <w:rPr>
                <w:rFonts w:eastAsia="Times New Roman"/>
                <w:lang w:val="ro-RO" w:eastAsia="en-US"/>
              </w:rPr>
              <w:t>SD</w:t>
            </w:r>
            <w:r w:rsidRPr="00661B5A">
              <w:rPr>
                <w:rFonts w:eastAsia="Times New Roman"/>
                <w:lang w:val="ro-RO" w:eastAsia="en-US"/>
              </w:rPr>
              <w:t>.</w:t>
            </w:r>
          </w:p>
          <w:p w14:paraId="4BD3F9C9" w14:textId="77777777" w:rsidR="00C33CD9" w:rsidRPr="00661B5A" w:rsidRDefault="00C33CD9" w:rsidP="00C33CD9">
            <w:pPr>
              <w:pStyle w:val="lf"/>
              <w:ind w:left="720"/>
              <w:rPr>
                <w:rFonts w:eastAsia="Times New Roman"/>
                <w:lang w:val="ro-RO" w:eastAsia="en-US"/>
              </w:rPr>
            </w:pPr>
          </w:p>
          <w:p w14:paraId="1E22707C" w14:textId="77777777" w:rsidR="00D049DB" w:rsidRPr="00BA709E" w:rsidRDefault="00D049DB" w:rsidP="00D049DB">
            <w:pPr>
              <w:ind w:firstLine="0"/>
              <w:jc w:val="left"/>
              <w:rPr>
                <w:i/>
                <w:sz w:val="24"/>
                <w:szCs w:val="24"/>
                <w:lang w:val="ro-RO"/>
              </w:rPr>
            </w:pPr>
            <w:r w:rsidRPr="00BA709E">
              <w:rPr>
                <w:i/>
                <w:sz w:val="24"/>
                <w:szCs w:val="24"/>
                <w:lang w:val="ro-RO"/>
              </w:rPr>
              <w:t>Impactul asupra mediului</w:t>
            </w:r>
          </w:p>
          <w:p w14:paraId="2A41FE12" w14:textId="77777777" w:rsidR="00807AB4" w:rsidRPr="007E5A65" w:rsidRDefault="00807AB4" w:rsidP="00807AB4">
            <w:pP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Măsurile stabilite în proiectul de act normativ vor contribui la:</w:t>
            </w:r>
          </w:p>
          <w:p w14:paraId="40BCB4C8" w14:textId="77777777" w:rsidR="00807AB4" w:rsidRPr="007E5A65" w:rsidRDefault="00807AB4" w:rsidP="00807AB4">
            <w:pPr>
              <w:pStyle w:val="a9"/>
              <w:numPr>
                <w:ilvl w:val="0"/>
                <w:numId w:val="17"/>
              </w:numPr>
              <w:rPr>
                <w:rFonts w:eastAsiaTheme="minorHAnsi"/>
                <w:color w:val="000000" w:themeColor="text1"/>
                <w:sz w:val="24"/>
                <w:szCs w:val="24"/>
                <w:lang w:val="ro-MD"/>
              </w:rPr>
            </w:pPr>
            <w:bookmarkStart w:id="2" w:name="_Hlk59384273"/>
            <w:r w:rsidRPr="007E5A65">
              <w:rPr>
                <w:rFonts w:eastAsiaTheme="minorHAnsi"/>
                <w:color w:val="000000" w:themeColor="text1"/>
                <w:sz w:val="24"/>
                <w:szCs w:val="24"/>
                <w:lang w:val="ro-MD"/>
              </w:rPr>
              <w:t>Promovarea unei politici orientate spre atingerea „obiectivului de reducere a poluării pentru un mediu fără substanțe toxice” stipulat în Pactul Ecologic European (European Green Deal);</w:t>
            </w:r>
          </w:p>
          <w:p w14:paraId="227037FF" w14:textId="77777777" w:rsidR="00807AB4" w:rsidRPr="007E5A65" w:rsidRDefault="00807AB4" w:rsidP="00807AB4">
            <w:pPr>
              <w:pStyle w:val="a9"/>
              <w:numPr>
                <w:ilvl w:val="0"/>
                <w:numId w:val="17"/>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Promovarea separării la sursă a deșeurilor, pentru a asigura materii de calitate înaltă introduse în operațiunea de valorificare;</w:t>
            </w:r>
          </w:p>
          <w:p w14:paraId="4620F539" w14:textId="77777777" w:rsidR="00807AB4" w:rsidRPr="007E5A65" w:rsidRDefault="00807AB4" w:rsidP="00807AB4">
            <w:pPr>
              <w:pStyle w:val="a9"/>
              <w:numPr>
                <w:ilvl w:val="0"/>
                <w:numId w:val="17"/>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Motivarea introducerii și diseminării noilor metode, tehnologii și produse de producție;</w:t>
            </w:r>
          </w:p>
          <w:p w14:paraId="796C5F66" w14:textId="77777777" w:rsidR="00807AB4" w:rsidRPr="007E5A65" w:rsidRDefault="00807AB4" w:rsidP="00807AB4">
            <w:pPr>
              <w:pStyle w:val="a9"/>
              <w:numPr>
                <w:ilvl w:val="0"/>
                <w:numId w:val="17"/>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lastRenderedPageBreak/>
              <w:t>Evitarea  emisiilor  în  atmosferă  a  gazelor  cu  efect  de  seră prin  reducerea cantității deșeurilor biodegradabile eliminate prin depozitare, inactivarea  biologică a proceselor biochimice şi în acelaşi timp evitarea degajării mirosurilor neplăcute.</w:t>
            </w:r>
          </w:p>
          <w:p w14:paraId="4D94C823" w14:textId="77777777" w:rsidR="00807AB4" w:rsidRPr="007E5A65" w:rsidRDefault="00807AB4" w:rsidP="00807AB4">
            <w:pPr>
              <w:pStyle w:val="a9"/>
              <w:shd w:val="clear" w:color="auto" w:fill="FFFFFF" w:themeFill="background1"/>
              <w:autoSpaceDE w:val="0"/>
              <w:autoSpaceDN w:val="0"/>
              <w:adjustRightInd w:val="0"/>
              <w:ind w:right="141" w:firstLine="0"/>
              <w:rPr>
                <w:rFonts w:eastAsiaTheme="minorHAnsi"/>
                <w:color w:val="000000" w:themeColor="text1"/>
                <w:sz w:val="24"/>
                <w:szCs w:val="24"/>
                <w:lang w:val="ro-MD"/>
              </w:rPr>
            </w:pPr>
          </w:p>
          <w:bookmarkEnd w:id="2"/>
          <w:p w14:paraId="5FCEB8C2" w14:textId="77777777" w:rsidR="00807AB4" w:rsidRPr="007E5A65" w:rsidRDefault="00807AB4" w:rsidP="00807AB4">
            <w:pPr>
              <w:pBdr>
                <w:top w:val="nil"/>
                <w:left w:val="nil"/>
                <w:bottom w:val="nil"/>
                <w:right w:val="nil"/>
                <w:between w:val="nil"/>
              </w:pBd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În termeni calitativi, beneficiile prevăzute ca urmare a proiectului constă în eficientizarea activității operatorilor de gestionare a deșeurilor, inclusiv:</w:t>
            </w:r>
          </w:p>
          <w:p w14:paraId="1892E6B6" w14:textId="77777777" w:rsidR="00807AB4" w:rsidRPr="007E5A65" w:rsidRDefault="00807AB4" w:rsidP="00807AB4">
            <w:pPr>
              <w:pStyle w:val="a9"/>
              <w:numPr>
                <w:ilvl w:val="0"/>
                <w:numId w:val="17"/>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Sporirea gradului de reciclare a deșeurilor și generarea unor materii prime secundare de calitate înaltă, eliminarea barierelor pentru ca noii furnizori să intre pe piață; </w:t>
            </w:r>
          </w:p>
          <w:p w14:paraId="56A98DBC" w14:textId="77777777" w:rsidR="00807AB4" w:rsidRPr="007E5A65" w:rsidRDefault="00807AB4" w:rsidP="00807AB4">
            <w:pPr>
              <w:pStyle w:val="a9"/>
              <w:numPr>
                <w:ilvl w:val="0"/>
                <w:numId w:val="17"/>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Asigurarea existenței unor materii prime secundare de calitate; </w:t>
            </w:r>
          </w:p>
          <w:p w14:paraId="41AF5949" w14:textId="77777777" w:rsidR="00807AB4" w:rsidRPr="007E5A65" w:rsidRDefault="00807AB4" w:rsidP="00807AB4">
            <w:pPr>
              <w:pStyle w:val="a9"/>
              <w:numPr>
                <w:ilvl w:val="0"/>
                <w:numId w:val="17"/>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Sporirea valorii materiilor rezultate din operațiunea de valorificare, ceea ce presupune comercializarea acestora la un preț mai ridica; </w:t>
            </w:r>
          </w:p>
          <w:p w14:paraId="7F012640" w14:textId="77777777" w:rsidR="00807AB4" w:rsidRPr="007E5A65" w:rsidRDefault="00807AB4" w:rsidP="00807AB4">
            <w:pPr>
              <w:pStyle w:val="a9"/>
              <w:numPr>
                <w:ilvl w:val="0"/>
                <w:numId w:val="17"/>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Crearea premiselor pentru modernizarea procesului tehnologic </w:t>
            </w:r>
          </w:p>
          <w:p w14:paraId="6A255232" w14:textId="77777777" w:rsidR="00807AB4" w:rsidRPr="007E5A65" w:rsidRDefault="00807AB4" w:rsidP="00807AB4">
            <w:pPr>
              <w:pStyle w:val="a9"/>
              <w:numPr>
                <w:ilvl w:val="0"/>
                <w:numId w:val="17"/>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Modificări ale valorii percepute a materialului (pierderea „stigmei” deșeurilor).</w:t>
            </w:r>
          </w:p>
          <w:p w14:paraId="34CF2633" w14:textId="77777777" w:rsidR="00457A8E" w:rsidRPr="00807AB4" w:rsidRDefault="00457A8E" w:rsidP="002A4721">
            <w:pPr>
              <w:ind w:firstLine="0"/>
              <w:jc w:val="left"/>
              <w:rPr>
                <w:sz w:val="24"/>
                <w:szCs w:val="24"/>
                <w:lang w:val="ro-MD"/>
              </w:rPr>
            </w:pPr>
          </w:p>
        </w:tc>
      </w:tr>
      <w:tr w:rsidR="008103CD" w:rsidRPr="00BA709E" w14:paraId="5FEC952D"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72689" w14:textId="77777777" w:rsidR="00457A8E" w:rsidRPr="00BA709E" w:rsidRDefault="00457A8E" w:rsidP="00250584">
            <w:pPr>
              <w:ind w:firstLine="0"/>
              <w:jc w:val="left"/>
              <w:rPr>
                <w:sz w:val="24"/>
                <w:szCs w:val="24"/>
                <w:lang w:val="ro-RO"/>
              </w:rPr>
            </w:pPr>
            <w:r w:rsidRPr="00BA709E">
              <w:rPr>
                <w:bCs/>
                <w:sz w:val="24"/>
                <w:szCs w:val="24"/>
                <w:lang w:val="ro-RO"/>
              </w:rPr>
              <w:lastRenderedPageBreak/>
              <w:t>b</w:t>
            </w:r>
            <w:r w:rsidRPr="00BA709E">
              <w:rPr>
                <w:bCs/>
                <w:sz w:val="24"/>
                <w:szCs w:val="24"/>
                <w:vertAlign w:val="superscript"/>
                <w:lang w:val="ro-RO"/>
              </w:rPr>
              <w:t>2</w:t>
            </w:r>
            <w:r w:rsidRPr="00BA709E">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C4E38F9" w14:textId="77777777" w:rsidR="00457A8E" w:rsidRPr="00BA709E" w:rsidRDefault="00457A8E" w:rsidP="00250584">
            <w:pPr>
              <w:ind w:firstLine="0"/>
              <w:jc w:val="left"/>
              <w:rPr>
                <w:sz w:val="24"/>
                <w:szCs w:val="24"/>
                <w:lang w:val="ro-RO"/>
              </w:rPr>
            </w:pPr>
          </w:p>
        </w:tc>
      </w:tr>
      <w:tr w:rsidR="00457A8E" w:rsidRPr="00BA709E" w14:paraId="1DA08413"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23CEC5" w14:textId="77777777" w:rsidR="00457A8E" w:rsidRPr="00BA709E" w:rsidRDefault="000D3F7C" w:rsidP="00250584">
            <w:pPr>
              <w:ind w:firstLine="0"/>
              <w:jc w:val="left"/>
              <w:rPr>
                <w:sz w:val="24"/>
                <w:szCs w:val="24"/>
                <w:lang w:val="ro-RO"/>
              </w:rPr>
            </w:pPr>
            <w:r w:rsidRPr="00BA709E">
              <w:rPr>
                <w:sz w:val="24"/>
                <w:szCs w:val="24"/>
                <w:lang w:val="ro-RO"/>
              </w:rPr>
              <w:t>N/A</w:t>
            </w:r>
          </w:p>
          <w:p w14:paraId="02C012DE" w14:textId="77777777" w:rsidR="00457A8E" w:rsidRPr="00BA709E" w:rsidRDefault="00457A8E" w:rsidP="00250584">
            <w:pPr>
              <w:ind w:firstLine="0"/>
              <w:jc w:val="left"/>
              <w:rPr>
                <w:sz w:val="24"/>
                <w:szCs w:val="24"/>
                <w:lang w:val="ro-RO"/>
              </w:rPr>
            </w:pPr>
          </w:p>
        </w:tc>
      </w:tr>
      <w:tr w:rsidR="008103CD" w:rsidRPr="00BA709E" w14:paraId="698B63CB"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793F0" w14:textId="77777777" w:rsidR="00457A8E" w:rsidRPr="00BA709E" w:rsidRDefault="00457A8E" w:rsidP="00250584">
            <w:pPr>
              <w:ind w:firstLine="0"/>
              <w:jc w:val="left"/>
              <w:rPr>
                <w:bCs/>
                <w:sz w:val="24"/>
                <w:szCs w:val="24"/>
                <w:lang w:val="ro-RO"/>
              </w:rPr>
            </w:pPr>
            <w:r w:rsidRPr="00BA709E">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F3302A" w14:textId="77777777" w:rsidR="00457A8E" w:rsidRPr="00BA709E" w:rsidRDefault="00457A8E" w:rsidP="00250584">
            <w:pPr>
              <w:ind w:firstLine="0"/>
              <w:jc w:val="left"/>
              <w:rPr>
                <w:sz w:val="24"/>
                <w:szCs w:val="24"/>
                <w:lang w:val="ro-RO"/>
              </w:rPr>
            </w:pPr>
          </w:p>
        </w:tc>
      </w:tr>
      <w:tr w:rsidR="00457A8E" w:rsidRPr="00BA709E" w14:paraId="0B2AFD74"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8046DB" w14:textId="77777777" w:rsidR="00457A8E" w:rsidRPr="00BA709E" w:rsidRDefault="00A81D83" w:rsidP="00D978F4">
            <w:pPr>
              <w:ind w:firstLine="0"/>
              <w:jc w:val="left"/>
              <w:rPr>
                <w:sz w:val="24"/>
                <w:szCs w:val="24"/>
                <w:lang w:val="ro-RO"/>
              </w:rPr>
            </w:pPr>
            <w:r w:rsidRPr="00E0305B">
              <w:rPr>
                <w:color w:val="000000"/>
                <w:sz w:val="24"/>
                <w:szCs w:val="24"/>
                <w:lang w:val="ro-RO"/>
              </w:rPr>
              <w:t xml:space="preserve">Riscuri </w:t>
            </w:r>
            <w:r>
              <w:rPr>
                <w:color w:val="000000"/>
                <w:sz w:val="24"/>
                <w:szCs w:val="24"/>
                <w:lang w:val="ro-RO"/>
              </w:rPr>
              <w:t>care pot duce la eșecul intervenției nu s-au identificat.</w:t>
            </w:r>
          </w:p>
        </w:tc>
      </w:tr>
      <w:tr w:rsidR="008103CD" w:rsidRPr="00BA709E" w14:paraId="22BD8EF6"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49FFF8" w14:textId="77777777" w:rsidR="00457A8E" w:rsidRPr="00BA709E" w:rsidRDefault="00457A8E" w:rsidP="00250584">
            <w:pPr>
              <w:ind w:firstLine="0"/>
              <w:jc w:val="left"/>
              <w:rPr>
                <w:sz w:val="24"/>
                <w:szCs w:val="24"/>
                <w:lang w:val="ro-RO"/>
              </w:rPr>
            </w:pPr>
            <w:r w:rsidRPr="00BA709E">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ED82BE" w14:textId="77777777" w:rsidR="00457A8E" w:rsidRPr="00BA709E" w:rsidRDefault="00457A8E" w:rsidP="00250584">
            <w:pPr>
              <w:ind w:firstLine="0"/>
              <w:jc w:val="left"/>
              <w:rPr>
                <w:sz w:val="24"/>
                <w:szCs w:val="24"/>
                <w:lang w:val="ro-RO"/>
              </w:rPr>
            </w:pPr>
          </w:p>
        </w:tc>
      </w:tr>
      <w:tr w:rsidR="00457A8E" w:rsidRPr="00BA709E" w14:paraId="562019C4"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224856" w14:textId="77777777" w:rsidR="00A81D83" w:rsidRPr="00A81D83" w:rsidRDefault="00A81D83" w:rsidP="00A81D83">
            <w:pPr>
              <w:pStyle w:val="ae"/>
              <w:ind w:left="90"/>
              <w:rPr>
                <w:color w:val="auto"/>
                <w:lang w:val="ro-MD"/>
              </w:rPr>
            </w:pPr>
            <w:r w:rsidRPr="00A81D83">
              <w:rPr>
                <w:color w:val="auto"/>
                <w:lang w:val="ro-MD"/>
              </w:rPr>
              <w:t>Au fost estimate următoarele costuri pentru agenții economici care plasează pe piață băuturi ambalate în ambalaje de unică folosință și reutilizabile:</w:t>
            </w:r>
          </w:p>
          <w:p w14:paraId="073DE456" w14:textId="77777777" w:rsidR="00A81D83" w:rsidRPr="00A81D83" w:rsidRDefault="00A81D83" w:rsidP="00A81D83">
            <w:pPr>
              <w:pStyle w:val="ae"/>
              <w:numPr>
                <w:ilvl w:val="0"/>
                <w:numId w:val="19"/>
              </w:numPr>
              <w:rPr>
                <w:color w:val="auto"/>
                <w:lang w:val="ro-MD"/>
              </w:rPr>
            </w:pPr>
            <w:r w:rsidRPr="00A81D83">
              <w:rPr>
                <w:color w:val="auto"/>
                <w:lang w:val="ro-MD"/>
              </w:rPr>
              <w:t xml:space="preserve">Costuri de configurare și reetichetare a băuturilor </w:t>
            </w:r>
          </w:p>
          <w:p w14:paraId="6C6D6997" w14:textId="77777777" w:rsidR="00A81D83" w:rsidRPr="00A81D83" w:rsidRDefault="00A81D83" w:rsidP="00A81D83">
            <w:pPr>
              <w:pStyle w:val="ae"/>
              <w:numPr>
                <w:ilvl w:val="0"/>
                <w:numId w:val="19"/>
              </w:numPr>
              <w:rPr>
                <w:color w:val="auto"/>
                <w:lang w:val="ro-MD"/>
              </w:rPr>
            </w:pPr>
            <w:r w:rsidRPr="00A81D83">
              <w:rPr>
                <w:color w:val="auto"/>
                <w:lang w:val="ro-MD"/>
              </w:rPr>
              <w:t>Achiziționarea / închirierea automate reversibile  (taromate)</w:t>
            </w:r>
          </w:p>
          <w:p w14:paraId="3C78C875" w14:textId="77777777" w:rsidR="00A81D83" w:rsidRPr="00A81D83" w:rsidRDefault="00A81D83" w:rsidP="00A81D83">
            <w:pPr>
              <w:pStyle w:val="ae"/>
              <w:numPr>
                <w:ilvl w:val="0"/>
                <w:numId w:val="19"/>
              </w:numPr>
              <w:rPr>
                <w:color w:val="auto"/>
                <w:lang w:val="ro-MD"/>
              </w:rPr>
            </w:pPr>
            <w:r w:rsidRPr="00A81D83">
              <w:rPr>
                <w:color w:val="auto"/>
                <w:lang w:val="ro-MD"/>
              </w:rPr>
              <w:t xml:space="preserve">Costuri de preluare manuală în magazinele fără taromate  </w:t>
            </w:r>
          </w:p>
          <w:p w14:paraId="00AEFB10" w14:textId="77777777" w:rsidR="00A81D83" w:rsidRPr="00A81D83" w:rsidRDefault="00A81D83" w:rsidP="00A81D83">
            <w:pPr>
              <w:pStyle w:val="ae"/>
              <w:numPr>
                <w:ilvl w:val="0"/>
                <w:numId w:val="19"/>
              </w:numPr>
              <w:rPr>
                <w:color w:val="auto"/>
                <w:lang w:val="ro-MD"/>
              </w:rPr>
            </w:pPr>
            <w:r w:rsidRPr="00A81D83">
              <w:rPr>
                <w:color w:val="auto"/>
                <w:lang w:val="ro-MD"/>
              </w:rPr>
              <w:t>Logistica</w:t>
            </w:r>
          </w:p>
          <w:p w14:paraId="53E23E06" w14:textId="77777777" w:rsidR="00A81D83" w:rsidRPr="00A81D83" w:rsidRDefault="00A81D83" w:rsidP="00A81D83">
            <w:pPr>
              <w:pStyle w:val="ae"/>
              <w:numPr>
                <w:ilvl w:val="0"/>
                <w:numId w:val="19"/>
              </w:numPr>
              <w:rPr>
                <w:color w:val="auto"/>
                <w:lang w:val="ro-MD"/>
              </w:rPr>
            </w:pPr>
            <w:r w:rsidRPr="00A81D83">
              <w:rPr>
                <w:color w:val="auto"/>
                <w:lang w:val="ro-MD"/>
              </w:rPr>
              <w:t xml:space="preserve">Crearea și menținerea centrului de numărare </w:t>
            </w:r>
          </w:p>
          <w:p w14:paraId="29724246" w14:textId="77777777" w:rsidR="00A81D83" w:rsidRPr="00A81D83" w:rsidRDefault="00A81D83" w:rsidP="00A81D83">
            <w:pPr>
              <w:pStyle w:val="ae"/>
              <w:numPr>
                <w:ilvl w:val="0"/>
                <w:numId w:val="19"/>
              </w:numPr>
              <w:rPr>
                <w:color w:val="auto"/>
                <w:lang w:val="ro-MD"/>
              </w:rPr>
            </w:pPr>
            <w:r w:rsidRPr="00A81D83">
              <w:rPr>
                <w:color w:val="auto"/>
                <w:lang w:val="ro-MD"/>
              </w:rPr>
              <w:t xml:space="preserve">Costuri administrative </w:t>
            </w:r>
          </w:p>
          <w:p w14:paraId="1F65516C" w14:textId="77777777" w:rsidR="00457A8E" w:rsidRPr="00A81D83" w:rsidRDefault="00457A8E" w:rsidP="00805656">
            <w:pPr>
              <w:ind w:left="360" w:firstLine="0"/>
              <w:jc w:val="left"/>
              <w:rPr>
                <w:sz w:val="24"/>
                <w:szCs w:val="24"/>
                <w:lang w:val="ro-RO"/>
              </w:rPr>
            </w:pPr>
          </w:p>
          <w:p w14:paraId="0CF1557C" w14:textId="77777777" w:rsidR="00805656" w:rsidRDefault="00805656" w:rsidP="006E0F05">
            <w:pPr>
              <w:pStyle w:val="ac"/>
              <w:ind w:firstLine="381"/>
            </w:pPr>
            <w:r w:rsidRPr="00A81D83">
              <w:t xml:space="preserve">Costurile de funcționare a sistemului depozit sunt considerate costuri directe </w:t>
            </w:r>
            <w:r w:rsidR="006E0F05" w:rsidRPr="00A81D83">
              <w:t>de</w:t>
            </w:r>
            <w:r w:rsidRPr="00A81D83">
              <w:t xml:space="preserve"> afaceri, deoarece acestea vor fi acoperite de taxa de producător. Veniturile materiale </w:t>
            </w:r>
            <w:r w:rsidRPr="00805656">
              <w:t xml:space="preserve">obținute de </w:t>
            </w:r>
            <w:r w:rsidR="006E0F05">
              <w:t>Administratorul Sistemului</w:t>
            </w:r>
            <w:r w:rsidRPr="00805656">
              <w:t xml:space="preserve"> prin vânzarea ulterioară a materialelor </w:t>
            </w:r>
            <w:r w:rsidR="006E0F05">
              <w:t>va constitui</w:t>
            </w:r>
            <w:r w:rsidRPr="00805656">
              <w:t xml:space="preserve"> un beneficiu indirect pentru afaceri, prin reducerea taxei de producător. Prin urmare, taxa de producător </w:t>
            </w:r>
            <w:r w:rsidR="006E0F05">
              <w:t>va</w:t>
            </w:r>
            <w:r w:rsidRPr="00805656">
              <w:t xml:space="preserve"> vari</w:t>
            </w:r>
            <w:r w:rsidR="006E0F05">
              <w:t>a</w:t>
            </w:r>
            <w:r w:rsidRPr="00805656">
              <w:t xml:space="preserve"> în funcție de</w:t>
            </w:r>
            <w:r w:rsidR="006E0F05">
              <w:t xml:space="preserve"> piețele materialelor secundare</w:t>
            </w:r>
            <w:r w:rsidRPr="00805656">
              <w:t xml:space="preserve">. </w:t>
            </w:r>
            <w:r w:rsidR="006E0F05">
              <w:t xml:space="preserve">Taxa de producător </w:t>
            </w:r>
            <w:r w:rsidRPr="00805656">
              <w:t xml:space="preserve"> urmează să fie plătit</w:t>
            </w:r>
            <w:r w:rsidR="006E0F05">
              <w:t>ă</w:t>
            </w:r>
            <w:r w:rsidRPr="00805656">
              <w:t xml:space="preserve"> de producătorii de recipiente pentru băuturi, în funcție de materialul </w:t>
            </w:r>
            <w:r w:rsidR="006E0F05">
              <w:t xml:space="preserve">și cantitatea </w:t>
            </w:r>
            <w:r w:rsidRPr="00805656">
              <w:t>pe care îl introduc pe piață.</w:t>
            </w:r>
          </w:p>
          <w:p w14:paraId="216920D5" w14:textId="77777777" w:rsidR="006E0F05" w:rsidRDefault="006E0F05" w:rsidP="006E0F05">
            <w:pPr>
              <w:pStyle w:val="ac"/>
            </w:pPr>
          </w:p>
          <w:p w14:paraId="591D5A5A" w14:textId="77777777" w:rsidR="006E0F05" w:rsidRPr="00805656" w:rsidRDefault="006E0F05" w:rsidP="006E0F05">
            <w:pPr>
              <w:ind w:firstLine="381"/>
              <w:rPr>
                <w:sz w:val="24"/>
                <w:szCs w:val="24"/>
                <w:lang w:val="ro-RO"/>
              </w:rPr>
            </w:pPr>
            <w:r>
              <w:rPr>
                <w:sz w:val="24"/>
                <w:szCs w:val="24"/>
                <w:lang w:val="ro-RO"/>
              </w:rPr>
              <w:t>Sistemul depozit</w:t>
            </w:r>
            <w:r w:rsidRPr="006E0F05">
              <w:rPr>
                <w:sz w:val="24"/>
                <w:szCs w:val="24"/>
                <w:lang w:val="ro-RO"/>
              </w:rPr>
              <w:t xml:space="preserve"> va optimiza plasarea </w:t>
            </w:r>
            <w:r>
              <w:rPr>
                <w:sz w:val="24"/>
                <w:szCs w:val="24"/>
                <w:lang w:val="ro-RO"/>
              </w:rPr>
              <w:t xml:space="preserve">automatelor reversibile </w:t>
            </w:r>
            <w:r w:rsidRPr="006E0F05">
              <w:rPr>
                <w:sz w:val="24"/>
                <w:szCs w:val="24"/>
                <w:lang w:val="ro-RO"/>
              </w:rPr>
              <w:t>în locații</w:t>
            </w:r>
            <w:r>
              <w:rPr>
                <w:sz w:val="24"/>
                <w:szCs w:val="24"/>
                <w:lang w:val="ro-RO"/>
              </w:rPr>
              <w:t xml:space="preserve">le mai mari </w:t>
            </w:r>
            <w:r w:rsidRPr="00D93D17">
              <w:rPr>
                <w:sz w:val="24"/>
                <w:szCs w:val="24"/>
                <w:lang w:val="ro-RO"/>
              </w:rPr>
              <w:t>de 60 m2</w:t>
            </w:r>
            <w:r w:rsidRPr="006E0F05">
              <w:rPr>
                <w:sz w:val="24"/>
                <w:szCs w:val="24"/>
                <w:lang w:val="ro-RO"/>
              </w:rPr>
              <w:t xml:space="preserve">, prin urmare, întreprinderile mici și </w:t>
            </w:r>
            <w:r>
              <w:rPr>
                <w:sz w:val="24"/>
                <w:szCs w:val="24"/>
                <w:lang w:val="ro-RO"/>
              </w:rPr>
              <w:t>mijlocii</w:t>
            </w:r>
            <w:r w:rsidRPr="006E0F05">
              <w:rPr>
                <w:sz w:val="24"/>
                <w:szCs w:val="24"/>
                <w:lang w:val="ro-RO"/>
              </w:rPr>
              <w:t xml:space="preserve">, care puțin probabil se </w:t>
            </w:r>
            <w:r>
              <w:rPr>
                <w:sz w:val="24"/>
                <w:szCs w:val="24"/>
                <w:lang w:val="ro-RO"/>
              </w:rPr>
              <w:t xml:space="preserve">vor </w:t>
            </w:r>
            <w:r w:rsidRPr="006E0F05">
              <w:rPr>
                <w:sz w:val="24"/>
                <w:szCs w:val="24"/>
                <w:lang w:val="ro-RO"/>
              </w:rPr>
              <w:t xml:space="preserve">confrunta cu </w:t>
            </w:r>
            <w:r>
              <w:rPr>
                <w:sz w:val="24"/>
                <w:szCs w:val="24"/>
                <w:lang w:val="ro-RO"/>
              </w:rPr>
              <w:t xml:space="preserve">un </w:t>
            </w:r>
            <w:r w:rsidRPr="006E0F05">
              <w:rPr>
                <w:sz w:val="24"/>
                <w:szCs w:val="24"/>
                <w:lang w:val="ro-RO"/>
              </w:rPr>
              <w:t>număr</w:t>
            </w:r>
            <w:r>
              <w:rPr>
                <w:sz w:val="24"/>
                <w:szCs w:val="24"/>
                <w:lang w:val="ro-RO"/>
              </w:rPr>
              <w:t xml:space="preserve"> mare</w:t>
            </w:r>
            <w:r w:rsidRPr="006E0F05">
              <w:rPr>
                <w:sz w:val="24"/>
                <w:szCs w:val="24"/>
                <w:lang w:val="ro-RO"/>
              </w:rPr>
              <w:t xml:space="preserve"> de returnări pe zi vor colecta </w:t>
            </w:r>
            <w:r>
              <w:rPr>
                <w:sz w:val="24"/>
                <w:szCs w:val="24"/>
                <w:lang w:val="ro-RO"/>
              </w:rPr>
              <w:t>prin</w:t>
            </w:r>
            <w:r w:rsidRPr="006E0F05">
              <w:rPr>
                <w:sz w:val="24"/>
                <w:szCs w:val="24"/>
                <w:lang w:val="ro-RO"/>
              </w:rPr>
              <w:t xml:space="preserve"> schimb manual. Acesta va fi un proces mai puțin int</w:t>
            </w:r>
            <w:r>
              <w:rPr>
                <w:sz w:val="24"/>
                <w:szCs w:val="24"/>
                <w:lang w:val="ro-RO"/>
              </w:rPr>
              <w:t xml:space="preserve">ens și ar constitui un cost </w:t>
            </w:r>
            <w:r w:rsidRPr="006E0F05">
              <w:rPr>
                <w:sz w:val="24"/>
                <w:szCs w:val="24"/>
                <w:lang w:val="ro-RO"/>
              </w:rPr>
              <w:t xml:space="preserve">mai ieftin pentru întreprinderi. Comercianții cu amănuntul, indiferent de dimensiunea lor, vor fi pe deplin compensați pentru costurile </w:t>
            </w:r>
            <w:r>
              <w:rPr>
                <w:sz w:val="24"/>
                <w:szCs w:val="24"/>
                <w:lang w:val="ro-RO"/>
              </w:rPr>
              <w:t>de forța de muncă, timp</w:t>
            </w:r>
            <w:r w:rsidRPr="006E0F05">
              <w:rPr>
                <w:sz w:val="24"/>
                <w:szCs w:val="24"/>
                <w:lang w:val="ro-RO"/>
              </w:rPr>
              <w:t xml:space="preserve"> și spațiul de colectare a </w:t>
            </w:r>
            <w:r>
              <w:rPr>
                <w:sz w:val="24"/>
                <w:szCs w:val="24"/>
                <w:lang w:val="ro-RO"/>
              </w:rPr>
              <w:t>ambalajelor</w:t>
            </w:r>
            <w:r w:rsidRPr="006E0F05">
              <w:rPr>
                <w:sz w:val="24"/>
                <w:szCs w:val="24"/>
                <w:lang w:val="ro-RO"/>
              </w:rPr>
              <w:t xml:space="preserve">. Prin urmare, colectarea </w:t>
            </w:r>
            <w:r>
              <w:rPr>
                <w:sz w:val="24"/>
                <w:szCs w:val="24"/>
                <w:lang w:val="ro-RO"/>
              </w:rPr>
              <w:t>ambalajelor</w:t>
            </w:r>
            <w:r w:rsidRPr="006E0F05">
              <w:rPr>
                <w:sz w:val="24"/>
                <w:szCs w:val="24"/>
                <w:lang w:val="ro-RO"/>
              </w:rPr>
              <w:t xml:space="preserve"> ar fi un efort net neutru pentru </w:t>
            </w:r>
            <w:r w:rsidRPr="006E0F05">
              <w:rPr>
                <w:sz w:val="24"/>
                <w:szCs w:val="24"/>
                <w:lang w:val="ro-RO"/>
              </w:rPr>
              <w:lastRenderedPageBreak/>
              <w:t xml:space="preserve">întreprinderile mici și </w:t>
            </w:r>
            <w:r>
              <w:rPr>
                <w:sz w:val="24"/>
                <w:szCs w:val="24"/>
                <w:lang w:val="ro-RO"/>
              </w:rPr>
              <w:t>mijlocii</w:t>
            </w:r>
            <w:r w:rsidRPr="006E0F05">
              <w:rPr>
                <w:sz w:val="24"/>
                <w:szCs w:val="24"/>
                <w:lang w:val="ro-RO"/>
              </w:rPr>
              <w:t>. În</w:t>
            </w:r>
            <w:r>
              <w:rPr>
                <w:sz w:val="24"/>
                <w:szCs w:val="24"/>
                <w:lang w:val="ro-RO"/>
              </w:rPr>
              <w:t xml:space="preserve"> plus, există posibilitatea sporirii vânzărilor</w:t>
            </w:r>
            <w:r w:rsidRPr="006E0F05">
              <w:rPr>
                <w:sz w:val="24"/>
                <w:szCs w:val="24"/>
                <w:lang w:val="ro-RO"/>
              </w:rPr>
              <w:t xml:space="preserve">, deoarece, odată ce consumatorul returnează </w:t>
            </w:r>
            <w:r>
              <w:rPr>
                <w:sz w:val="24"/>
                <w:szCs w:val="24"/>
                <w:lang w:val="ro-RO"/>
              </w:rPr>
              <w:t>ambalajele</w:t>
            </w:r>
            <w:r w:rsidRPr="006E0F05">
              <w:rPr>
                <w:sz w:val="24"/>
                <w:szCs w:val="24"/>
                <w:lang w:val="ro-RO"/>
              </w:rPr>
              <w:t xml:space="preserve">, probabil </w:t>
            </w:r>
            <w:r>
              <w:rPr>
                <w:sz w:val="24"/>
                <w:szCs w:val="24"/>
                <w:lang w:val="ro-RO"/>
              </w:rPr>
              <w:t>va</w:t>
            </w:r>
            <w:r w:rsidRPr="006E0F05">
              <w:rPr>
                <w:sz w:val="24"/>
                <w:szCs w:val="24"/>
                <w:lang w:val="ro-RO"/>
              </w:rPr>
              <w:t xml:space="preserve"> cumpăr</w:t>
            </w:r>
            <w:r>
              <w:rPr>
                <w:sz w:val="24"/>
                <w:szCs w:val="24"/>
                <w:lang w:val="ro-RO"/>
              </w:rPr>
              <w:t>a</w:t>
            </w:r>
            <w:r w:rsidRPr="006E0F05">
              <w:rPr>
                <w:sz w:val="24"/>
                <w:szCs w:val="24"/>
                <w:lang w:val="ro-RO"/>
              </w:rPr>
              <w:t xml:space="preserve"> băuturi noi. </w:t>
            </w:r>
          </w:p>
        </w:tc>
      </w:tr>
      <w:tr w:rsidR="008103CD" w:rsidRPr="00BA709E" w14:paraId="760BE469"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963B3" w14:textId="77777777" w:rsidR="00457A8E" w:rsidRPr="00BA709E" w:rsidRDefault="00457A8E" w:rsidP="00250584">
            <w:pPr>
              <w:ind w:firstLine="0"/>
              <w:jc w:val="left"/>
              <w:rPr>
                <w:b/>
                <w:bCs/>
                <w:sz w:val="24"/>
                <w:szCs w:val="24"/>
                <w:u w:val="single"/>
                <w:lang w:val="ro-RO"/>
              </w:rPr>
            </w:pPr>
            <w:r w:rsidRPr="00BA709E">
              <w:rPr>
                <w:b/>
                <w:bCs/>
                <w:sz w:val="24"/>
                <w:szCs w:val="24"/>
                <w:u w:val="single"/>
                <w:lang w:val="ro-RO"/>
              </w:rPr>
              <w:lastRenderedPageBreak/>
              <w:t>Concluzie</w:t>
            </w:r>
          </w:p>
          <w:p w14:paraId="39C2884B" w14:textId="77777777" w:rsidR="00457A8E" w:rsidRPr="00BA709E" w:rsidRDefault="00457A8E" w:rsidP="00250584">
            <w:pPr>
              <w:ind w:firstLine="0"/>
              <w:jc w:val="left"/>
              <w:rPr>
                <w:bCs/>
                <w:sz w:val="24"/>
                <w:szCs w:val="24"/>
                <w:lang w:val="ro-RO"/>
              </w:rPr>
            </w:pPr>
            <w:r w:rsidRPr="00BA709E">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F37CE9" w14:textId="77777777" w:rsidR="00457A8E" w:rsidRPr="00BA709E" w:rsidRDefault="00457A8E" w:rsidP="00250584">
            <w:pPr>
              <w:ind w:firstLine="0"/>
              <w:jc w:val="left"/>
              <w:rPr>
                <w:sz w:val="24"/>
                <w:szCs w:val="24"/>
                <w:lang w:val="ro-RO"/>
              </w:rPr>
            </w:pPr>
          </w:p>
        </w:tc>
      </w:tr>
      <w:tr w:rsidR="00457A8E" w:rsidRPr="00BA709E" w14:paraId="3C9B2E02"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469465" w14:textId="6A70C3A6" w:rsidR="00807AB4" w:rsidRDefault="00807AB4" w:rsidP="002E0306">
            <w:pPr>
              <w:ind w:firstLine="0"/>
              <w:rPr>
                <w:sz w:val="24"/>
                <w:szCs w:val="24"/>
                <w:lang w:val="ro-RO"/>
              </w:rPr>
            </w:pPr>
            <w:bookmarkStart w:id="3" w:name="_Hlk59387141"/>
            <w:r w:rsidRPr="007E5A65">
              <w:rPr>
                <w:color w:val="000000" w:themeColor="text1"/>
                <w:sz w:val="24"/>
                <w:szCs w:val="24"/>
                <w:lang w:val="ro-MD"/>
              </w:rPr>
              <w:t xml:space="preserve">Ca urmare a desfășurării AIR, se propune să se urmeze </w:t>
            </w:r>
            <w:r w:rsidRPr="007E5A65">
              <w:rPr>
                <w:b/>
                <w:bCs/>
                <w:color w:val="000000" w:themeColor="text1"/>
                <w:sz w:val="24"/>
                <w:szCs w:val="24"/>
                <w:lang w:val="ro-MD"/>
              </w:rPr>
              <w:t>opțiunea I</w:t>
            </w:r>
            <w:r w:rsidRPr="007E5A65">
              <w:rPr>
                <w:color w:val="000000" w:themeColor="text1"/>
                <w:sz w:val="24"/>
                <w:szCs w:val="24"/>
                <w:lang w:val="ro-MD"/>
              </w:rPr>
              <w:t xml:space="preserve"> care prevede nemijlocit aprobarea </w:t>
            </w:r>
            <w:bookmarkEnd w:id="3"/>
            <w:r w:rsidRPr="007E5A65">
              <w:rPr>
                <w:color w:val="000000" w:themeColor="text1"/>
                <w:sz w:val="24"/>
                <w:szCs w:val="24"/>
                <w:lang w:val="ro-MD"/>
              </w:rPr>
              <w:t>proiectului</w:t>
            </w:r>
            <w:r>
              <w:rPr>
                <w:color w:val="000000" w:themeColor="text1"/>
                <w:sz w:val="24"/>
                <w:szCs w:val="24"/>
                <w:lang w:val="ro-MD"/>
              </w:rPr>
              <w:t xml:space="preserve"> </w:t>
            </w:r>
            <w:r w:rsidRPr="00544892">
              <w:rPr>
                <w:sz w:val="24"/>
                <w:szCs w:val="24"/>
                <w:lang w:val="ro-RO"/>
              </w:rPr>
              <w:t xml:space="preserve">hotărârii </w:t>
            </w:r>
            <w:r>
              <w:rPr>
                <w:sz w:val="24"/>
                <w:szCs w:val="24"/>
                <w:lang w:val="ro-RO"/>
              </w:rPr>
              <w:t xml:space="preserve">Guvernului </w:t>
            </w:r>
            <w:r w:rsidR="002E0306" w:rsidRPr="002E0306">
              <w:rPr>
                <w:sz w:val="24"/>
                <w:szCs w:val="24"/>
                <w:lang w:val="ro-RO"/>
              </w:rPr>
              <w:t>privind stabilirea Sistemului de depozit pentru ambalaje</w:t>
            </w:r>
            <w:r>
              <w:rPr>
                <w:sz w:val="24"/>
                <w:szCs w:val="24"/>
                <w:lang w:val="ro-RO"/>
              </w:rPr>
              <w:t>.</w:t>
            </w:r>
          </w:p>
          <w:p w14:paraId="4BB7B118" w14:textId="77777777" w:rsidR="00FC0DA9" w:rsidRDefault="00FC0DA9" w:rsidP="00805656">
            <w:pPr>
              <w:ind w:firstLine="0"/>
              <w:jc w:val="left"/>
              <w:rPr>
                <w:sz w:val="24"/>
                <w:szCs w:val="24"/>
                <w:lang w:val="ro-RO"/>
              </w:rPr>
            </w:pPr>
          </w:p>
          <w:p w14:paraId="6111CDB8" w14:textId="77777777" w:rsidR="003039A3" w:rsidRDefault="00805656" w:rsidP="00065550">
            <w:pPr>
              <w:ind w:firstLine="0"/>
              <w:rPr>
                <w:sz w:val="24"/>
                <w:szCs w:val="24"/>
                <w:lang w:val="ro-RO"/>
              </w:rPr>
            </w:pPr>
            <w:r>
              <w:rPr>
                <w:sz w:val="24"/>
                <w:szCs w:val="24"/>
                <w:lang w:val="ro-RO"/>
              </w:rPr>
              <w:t xml:space="preserve">Aprobarea hotărîrii de Guvern propuse și stabilirea unui sistem depozit ar genera </w:t>
            </w:r>
            <w:r w:rsidRPr="00805656">
              <w:rPr>
                <w:sz w:val="24"/>
                <w:szCs w:val="24"/>
                <w:lang w:val="ro-RO"/>
              </w:rPr>
              <w:t xml:space="preserve">o calitate mai </w:t>
            </w:r>
            <w:r>
              <w:rPr>
                <w:sz w:val="24"/>
                <w:szCs w:val="24"/>
                <w:lang w:val="ro-RO"/>
              </w:rPr>
              <w:t>înaltă</w:t>
            </w:r>
            <w:r w:rsidRPr="00805656">
              <w:rPr>
                <w:sz w:val="24"/>
                <w:szCs w:val="24"/>
                <w:lang w:val="ro-RO"/>
              </w:rPr>
              <w:t xml:space="preserve"> a materialului colectat</w:t>
            </w:r>
            <w:r>
              <w:rPr>
                <w:sz w:val="24"/>
                <w:szCs w:val="24"/>
                <w:lang w:val="ro-RO"/>
              </w:rPr>
              <w:t xml:space="preserve">, comparativ cu alte metode de colectare, ceea ce va determina </w:t>
            </w:r>
            <w:r w:rsidRPr="00805656">
              <w:rPr>
                <w:sz w:val="24"/>
                <w:szCs w:val="24"/>
                <w:lang w:val="ro-RO"/>
              </w:rPr>
              <w:t xml:space="preserve">o mai mare certitudine că materialele vor fi reciclate, mai degrabă decât </w:t>
            </w:r>
            <w:r>
              <w:rPr>
                <w:sz w:val="24"/>
                <w:szCs w:val="24"/>
                <w:lang w:val="ro-RO"/>
              </w:rPr>
              <w:t>refuzate din cauza contaminării</w:t>
            </w:r>
            <w:r w:rsidRPr="00805656">
              <w:rPr>
                <w:sz w:val="24"/>
                <w:szCs w:val="24"/>
                <w:lang w:val="ro-RO"/>
              </w:rPr>
              <w:t xml:space="preserve">. Acest lucru </w:t>
            </w:r>
            <w:r>
              <w:rPr>
                <w:sz w:val="24"/>
                <w:szCs w:val="24"/>
                <w:lang w:val="ro-RO"/>
              </w:rPr>
              <w:t>este asociat beneficii de mediu, evitând situațiile cînd</w:t>
            </w:r>
            <w:r w:rsidRPr="00805656">
              <w:rPr>
                <w:sz w:val="24"/>
                <w:szCs w:val="24"/>
                <w:lang w:val="ro-RO"/>
              </w:rPr>
              <w:t xml:space="preserve"> deșeurile ajungă la depozitele de gunoi sau </w:t>
            </w:r>
            <w:r>
              <w:rPr>
                <w:sz w:val="24"/>
                <w:szCs w:val="24"/>
                <w:lang w:val="ro-RO"/>
              </w:rPr>
              <w:t>la</w:t>
            </w:r>
            <w:r w:rsidRPr="00805656">
              <w:rPr>
                <w:sz w:val="24"/>
                <w:szCs w:val="24"/>
                <w:lang w:val="ro-RO"/>
              </w:rPr>
              <w:t xml:space="preserve"> incinerare, </w:t>
            </w:r>
            <w:r>
              <w:rPr>
                <w:sz w:val="24"/>
                <w:szCs w:val="24"/>
                <w:lang w:val="ro-RO"/>
              </w:rPr>
              <w:t>de rînd</w:t>
            </w:r>
            <w:r w:rsidRPr="00805656">
              <w:rPr>
                <w:sz w:val="24"/>
                <w:szCs w:val="24"/>
                <w:lang w:val="ro-RO"/>
              </w:rPr>
              <w:t xml:space="preserve"> cu furnizarea unui flux stabil și de înaltă calitate de deșeuri pentru piețele de reprocesare secundară. Acest lucr</w:t>
            </w:r>
            <w:r>
              <w:rPr>
                <w:sz w:val="24"/>
                <w:szCs w:val="24"/>
                <w:lang w:val="ro-RO"/>
              </w:rPr>
              <w:t>u are potențialul de a stimula</w:t>
            </w:r>
            <w:r w:rsidRPr="00805656">
              <w:rPr>
                <w:sz w:val="24"/>
                <w:szCs w:val="24"/>
                <w:lang w:val="ro-RO"/>
              </w:rPr>
              <w:t xml:space="preserve"> capacitate</w:t>
            </w:r>
            <w:r>
              <w:rPr>
                <w:sz w:val="24"/>
                <w:szCs w:val="24"/>
                <w:lang w:val="ro-RO"/>
              </w:rPr>
              <w:t>a</w:t>
            </w:r>
            <w:r w:rsidRPr="00805656">
              <w:rPr>
                <w:sz w:val="24"/>
                <w:szCs w:val="24"/>
                <w:lang w:val="ro-RO"/>
              </w:rPr>
              <w:t xml:space="preserve"> inte</w:t>
            </w:r>
            <w:r>
              <w:rPr>
                <w:sz w:val="24"/>
                <w:szCs w:val="24"/>
                <w:lang w:val="ro-RO"/>
              </w:rPr>
              <w:t>rnă de reprocesare</w:t>
            </w:r>
            <w:r w:rsidRPr="00805656">
              <w:rPr>
                <w:sz w:val="24"/>
                <w:szCs w:val="24"/>
                <w:lang w:val="ro-RO"/>
              </w:rPr>
              <w:t>.</w:t>
            </w:r>
          </w:p>
          <w:p w14:paraId="030DEA2F" w14:textId="77777777" w:rsidR="00544892" w:rsidRPr="00DE76E3" w:rsidRDefault="00544892" w:rsidP="00065550">
            <w:pPr>
              <w:ind w:firstLine="0"/>
              <w:rPr>
                <w:sz w:val="24"/>
                <w:szCs w:val="24"/>
                <w:lang w:val="ro-RO"/>
              </w:rPr>
            </w:pPr>
            <w:r w:rsidRPr="00DE76E3">
              <w:rPr>
                <w:sz w:val="24"/>
                <w:szCs w:val="24"/>
                <w:lang w:val="ro-RO"/>
              </w:rPr>
              <w:t xml:space="preserve">Consumatorii adesea nu </w:t>
            </w:r>
            <w:r>
              <w:rPr>
                <w:sz w:val="24"/>
                <w:szCs w:val="24"/>
                <w:lang w:val="ro-RO"/>
              </w:rPr>
              <w:t>conferă</w:t>
            </w:r>
            <w:r w:rsidRPr="00DE76E3">
              <w:rPr>
                <w:sz w:val="24"/>
                <w:szCs w:val="24"/>
                <w:lang w:val="ro-RO"/>
              </w:rPr>
              <w:t xml:space="preserve"> valoare recipientelor pentru băuturi folosite sau nu pot găsi o cale adecvată sau convenabilă </w:t>
            </w:r>
            <w:r>
              <w:rPr>
                <w:sz w:val="24"/>
                <w:szCs w:val="24"/>
                <w:lang w:val="ro-RO"/>
              </w:rPr>
              <w:t>de</w:t>
            </w:r>
            <w:r w:rsidRPr="00DE76E3">
              <w:rPr>
                <w:sz w:val="24"/>
                <w:szCs w:val="24"/>
                <w:lang w:val="ro-RO"/>
              </w:rPr>
              <w:t xml:space="preserve"> eliminare</w:t>
            </w:r>
            <w:r>
              <w:rPr>
                <w:sz w:val="24"/>
                <w:szCs w:val="24"/>
                <w:lang w:val="ro-RO"/>
              </w:rPr>
              <w:t xml:space="preserve"> a acestora</w:t>
            </w:r>
            <w:r w:rsidRPr="00DE76E3">
              <w:rPr>
                <w:sz w:val="24"/>
                <w:szCs w:val="24"/>
                <w:lang w:val="ro-RO"/>
              </w:rPr>
              <w:t xml:space="preserve">. Produsele care ar fi putut fi reciclate sunt, în consecință, </w:t>
            </w:r>
            <w:r>
              <w:rPr>
                <w:sz w:val="24"/>
                <w:szCs w:val="24"/>
                <w:lang w:val="ro-RO"/>
              </w:rPr>
              <w:t>aruncate ca și deșeuri</w:t>
            </w:r>
            <w:r w:rsidRPr="00DE76E3">
              <w:rPr>
                <w:sz w:val="24"/>
                <w:szCs w:val="24"/>
                <w:lang w:val="ro-RO"/>
              </w:rPr>
              <w:t xml:space="preserve">. O schemă de returnare a depozitului introduce o suprataxă pentru recipientele </w:t>
            </w:r>
            <w:r>
              <w:rPr>
                <w:sz w:val="24"/>
                <w:szCs w:val="24"/>
                <w:lang w:val="ro-RO"/>
              </w:rPr>
              <w:t>de</w:t>
            </w:r>
            <w:r w:rsidRPr="00DE76E3">
              <w:rPr>
                <w:sz w:val="24"/>
                <w:szCs w:val="24"/>
                <w:lang w:val="ro-RO"/>
              </w:rPr>
              <w:t xml:space="preserve"> băuturi la achiziționare, care este </w:t>
            </w:r>
            <w:r>
              <w:rPr>
                <w:sz w:val="24"/>
                <w:szCs w:val="24"/>
                <w:lang w:val="ro-RO"/>
              </w:rPr>
              <w:t>returnată</w:t>
            </w:r>
            <w:r w:rsidRPr="00DE76E3">
              <w:rPr>
                <w:sz w:val="24"/>
                <w:szCs w:val="24"/>
                <w:lang w:val="ro-RO"/>
              </w:rPr>
              <w:t xml:space="preserve"> după utilizare. Disponibilitatea unei </w:t>
            </w:r>
            <w:r>
              <w:rPr>
                <w:sz w:val="24"/>
                <w:szCs w:val="24"/>
                <w:lang w:val="ro-RO"/>
              </w:rPr>
              <w:t>sume care poate fi returnată</w:t>
            </w:r>
            <w:r w:rsidRPr="00DE76E3">
              <w:rPr>
                <w:sz w:val="24"/>
                <w:szCs w:val="24"/>
                <w:lang w:val="ro-RO"/>
              </w:rPr>
              <w:t xml:space="preserve"> </w:t>
            </w:r>
            <w:r>
              <w:rPr>
                <w:sz w:val="24"/>
                <w:szCs w:val="24"/>
                <w:lang w:val="ro-RO"/>
              </w:rPr>
              <w:t>conferă</w:t>
            </w:r>
            <w:r w:rsidRPr="00DE76E3">
              <w:rPr>
                <w:sz w:val="24"/>
                <w:szCs w:val="24"/>
                <w:lang w:val="ro-RO"/>
              </w:rPr>
              <w:t xml:space="preserve"> o valoare monetară </w:t>
            </w:r>
            <w:r>
              <w:rPr>
                <w:sz w:val="24"/>
                <w:szCs w:val="24"/>
                <w:lang w:val="ro-RO"/>
              </w:rPr>
              <w:t>recipientelor</w:t>
            </w:r>
            <w:r w:rsidRPr="00DE76E3">
              <w:rPr>
                <w:sz w:val="24"/>
                <w:szCs w:val="24"/>
                <w:lang w:val="ro-RO"/>
              </w:rPr>
              <w:t xml:space="preserve"> goale pentru băuturi, reflectând adevăratul cost social și de mediu al eliminării, iar infrastructura </w:t>
            </w:r>
            <w:r>
              <w:rPr>
                <w:sz w:val="24"/>
                <w:szCs w:val="24"/>
                <w:lang w:val="ro-RO"/>
              </w:rPr>
              <w:t>sistemului de depozit</w:t>
            </w:r>
            <w:r w:rsidRPr="00DE76E3">
              <w:rPr>
                <w:sz w:val="24"/>
                <w:szCs w:val="24"/>
                <w:lang w:val="ro-RO"/>
              </w:rPr>
              <w:t xml:space="preserve"> oferă consumatorilor o metodă clară și ușoară de eliminare. Returul asigură că produsul poate fi reciclat în materii prime secundare.</w:t>
            </w:r>
          </w:p>
          <w:p w14:paraId="47DDB47D" w14:textId="77777777" w:rsidR="00544892" w:rsidRPr="00DE76E3" w:rsidRDefault="00544892" w:rsidP="00065550">
            <w:pPr>
              <w:ind w:firstLine="0"/>
              <w:rPr>
                <w:sz w:val="24"/>
                <w:szCs w:val="24"/>
                <w:lang w:val="ro-RO"/>
              </w:rPr>
            </w:pPr>
            <w:r w:rsidRPr="00DE76E3">
              <w:rPr>
                <w:sz w:val="24"/>
                <w:szCs w:val="24"/>
                <w:lang w:val="ro-RO"/>
              </w:rPr>
              <w:t xml:space="preserve">Materialele reciclate pot înlocui materialele virgine în producție, reducând astfel emisiile de gaze cu efect de seră asociate cu crearea de noi produse. În plus, reciclarea reduce la minimum deșeurile care ajung la depozitele de gunoi și la instalațiile de incinerare, evitând emisiile suplimentare de gaze cu efect de seră care. Acest lucru este deosebit de important atunci când se ia în considerare incinerarea materialelor foarte poluante, cum ar fi plasticul. Creșterea reciclării și încurajarea utilizării materialelor reciclabile și reciclate în producție </w:t>
            </w:r>
            <w:r>
              <w:rPr>
                <w:sz w:val="24"/>
                <w:szCs w:val="24"/>
                <w:lang w:val="ro-RO"/>
              </w:rPr>
              <w:t>susține</w:t>
            </w:r>
            <w:r w:rsidRPr="00DE76E3">
              <w:rPr>
                <w:sz w:val="24"/>
                <w:szCs w:val="24"/>
                <w:lang w:val="ro-RO"/>
              </w:rPr>
              <w:t xml:space="preserve"> trecerea către o economie circulară, menținând resursele în utilizare cât mai mult timp posibil și </w:t>
            </w:r>
            <w:r w:rsidR="00114C82" w:rsidRPr="00DE76E3">
              <w:rPr>
                <w:sz w:val="24"/>
                <w:szCs w:val="24"/>
                <w:lang w:val="ro-RO"/>
              </w:rPr>
              <w:t>extrăgând</w:t>
            </w:r>
            <w:r w:rsidRPr="00DE76E3">
              <w:rPr>
                <w:sz w:val="24"/>
                <w:szCs w:val="24"/>
                <w:lang w:val="ro-RO"/>
              </w:rPr>
              <w:t xml:space="preserve"> din acestea valoarea maximă.</w:t>
            </w:r>
          </w:p>
          <w:p w14:paraId="1F61E7B8" w14:textId="77777777" w:rsidR="00544892" w:rsidRPr="00DE76E3" w:rsidRDefault="00544892" w:rsidP="00065550">
            <w:pPr>
              <w:ind w:firstLine="0"/>
              <w:rPr>
                <w:sz w:val="24"/>
                <w:szCs w:val="24"/>
                <w:lang w:val="ro-RO"/>
              </w:rPr>
            </w:pPr>
            <w:r w:rsidRPr="00DE76E3">
              <w:rPr>
                <w:sz w:val="24"/>
                <w:szCs w:val="24"/>
                <w:lang w:val="ro-RO"/>
              </w:rPr>
              <w:t xml:space="preserve">Colectarea materialului prin intermediul unui </w:t>
            </w:r>
            <w:r>
              <w:rPr>
                <w:sz w:val="24"/>
                <w:szCs w:val="24"/>
                <w:lang w:val="ro-RO"/>
              </w:rPr>
              <w:t>sistem depozit</w:t>
            </w:r>
            <w:r w:rsidRPr="00DE76E3">
              <w:rPr>
                <w:sz w:val="24"/>
                <w:szCs w:val="24"/>
                <w:lang w:val="ro-RO"/>
              </w:rPr>
              <w:t xml:space="preserve"> </w:t>
            </w:r>
            <w:r>
              <w:rPr>
                <w:sz w:val="24"/>
                <w:szCs w:val="24"/>
                <w:lang w:val="ro-RO"/>
              </w:rPr>
              <w:t>generează</w:t>
            </w:r>
            <w:r w:rsidRPr="00DE76E3">
              <w:rPr>
                <w:sz w:val="24"/>
                <w:szCs w:val="24"/>
                <w:lang w:val="ro-RO"/>
              </w:rPr>
              <w:t xml:space="preserve"> un flux de material</w:t>
            </w:r>
            <w:r>
              <w:rPr>
                <w:sz w:val="24"/>
                <w:szCs w:val="24"/>
                <w:lang w:val="ro-RO"/>
              </w:rPr>
              <w:t>e</w:t>
            </w:r>
            <w:r w:rsidRPr="00DE76E3">
              <w:rPr>
                <w:sz w:val="24"/>
                <w:szCs w:val="24"/>
                <w:lang w:val="ro-RO"/>
              </w:rPr>
              <w:t xml:space="preserve"> de înaltă calitate, bine definit, </w:t>
            </w:r>
            <w:r>
              <w:rPr>
                <w:sz w:val="24"/>
                <w:szCs w:val="24"/>
                <w:lang w:val="ro-RO"/>
              </w:rPr>
              <w:t>care poate fi furnizat pe</w:t>
            </w:r>
            <w:r w:rsidRPr="00DE76E3">
              <w:rPr>
                <w:sz w:val="24"/>
                <w:szCs w:val="24"/>
                <w:lang w:val="ro-RO"/>
              </w:rPr>
              <w:t xml:space="preserve"> piețele de reprocesare. Recipientele pentru băuturi colectate în acest fel sunt mai puțin susceptibile de a fi contaminate cu materiale </w:t>
            </w:r>
            <w:r>
              <w:rPr>
                <w:sz w:val="24"/>
                <w:szCs w:val="24"/>
                <w:lang w:val="ro-RO"/>
              </w:rPr>
              <w:t>nedorite</w:t>
            </w:r>
            <w:r w:rsidRPr="00DE76E3">
              <w:rPr>
                <w:sz w:val="24"/>
                <w:szCs w:val="24"/>
                <w:lang w:val="ro-RO"/>
              </w:rPr>
              <w:t xml:space="preserve">, în comparație cu colectarea materialului printr-o colectare mixtă </w:t>
            </w:r>
            <w:r>
              <w:rPr>
                <w:sz w:val="24"/>
                <w:szCs w:val="24"/>
                <w:lang w:val="ro-RO"/>
              </w:rPr>
              <w:t>a</w:t>
            </w:r>
            <w:r w:rsidRPr="00DE76E3">
              <w:rPr>
                <w:sz w:val="24"/>
                <w:szCs w:val="24"/>
                <w:lang w:val="ro-RO"/>
              </w:rPr>
              <w:t xml:space="preserve"> recicla</w:t>
            </w:r>
            <w:r>
              <w:rPr>
                <w:sz w:val="24"/>
                <w:szCs w:val="24"/>
                <w:lang w:val="ro-RO"/>
              </w:rPr>
              <w:t>bilelor</w:t>
            </w:r>
            <w:r w:rsidRPr="00DE76E3">
              <w:rPr>
                <w:sz w:val="24"/>
                <w:szCs w:val="24"/>
                <w:lang w:val="ro-RO"/>
              </w:rPr>
              <w:t xml:space="preserve">. Această furnizare stabilă de deșeuri de înaltă calitate </w:t>
            </w:r>
            <w:r>
              <w:rPr>
                <w:sz w:val="24"/>
                <w:szCs w:val="24"/>
                <w:lang w:val="ro-RO"/>
              </w:rPr>
              <w:t>va</w:t>
            </w:r>
            <w:r w:rsidRPr="00DE76E3">
              <w:rPr>
                <w:sz w:val="24"/>
                <w:szCs w:val="24"/>
                <w:lang w:val="ro-RO"/>
              </w:rPr>
              <w:t xml:space="preserve"> stimula piaț</w:t>
            </w:r>
            <w:r>
              <w:rPr>
                <w:sz w:val="24"/>
                <w:szCs w:val="24"/>
                <w:lang w:val="ro-RO"/>
              </w:rPr>
              <w:t>a internă</w:t>
            </w:r>
            <w:r w:rsidRPr="00DE76E3">
              <w:rPr>
                <w:sz w:val="24"/>
                <w:szCs w:val="24"/>
                <w:lang w:val="ro-RO"/>
              </w:rPr>
              <w:t xml:space="preserve"> de </w:t>
            </w:r>
            <w:r>
              <w:rPr>
                <w:sz w:val="24"/>
                <w:szCs w:val="24"/>
                <w:lang w:val="ro-RO"/>
              </w:rPr>
              <w:t>reciclare</w:t>
            </w:r>
            <w:r w:rsidRPr="00DE76E3">
              <w:rPr>
                <w:sz w:val="24"/>
                <w:szCs w:val="24"/>
                <w:lang w:val="ro-RO"/>
              </w:rPr>
              <w:t>.</w:t>
            </w:r>
          </w:p>
          <w:p w14:paraId="0A035331" w14:textId="77777777" w:rsidR="00544892" w:rsidRPr="00BA709E" w:rsidRDefault="00544892" w:rsidP="00065550">
            <w:pPr>
              <w:ind w:firstLine="0"/>
              <w:rPr>
                <w:sz w:val="24"/>
                <w:szCs w:val="24"/>
                <w:lang w:val="ro-RO"/>
              </w:rPr>
            </w:pPr>
            <w:r w:rsidRPr="00DE76E3">
              <w:rPr>
                <w:sz w:val="24"/>
                <w:szCs w:val="24"/>
                <w:lang w:val="ro-RO"/>
              </w:rPr>
              <w:t xml:space="preserve">Reducerea cantității de recipiente pentru băuturi aruncate ar avea, de asemenea, beneficii semnificative pentru mediu. </w:t>
            </w:r>
            <w:r>
              <w:rPr>
                <w:sz w:val="24"/>
                <w:szCs w:val="24"/>
                <w:lang w:val="ro-RO"/>
              </w:rPr>
              <w:t xml:space="preserve">Odată ce ajung la depozitul de </w:t>
            </w:r>
            <w:r w:rsidRPr="00DE76E3">
              <w:rPr>
                <w:sz w:val="24"/>
                <w:szCs w:val="24"/>
                <w:lang w:val="ro-RO"/>
              </w:rPr>
              <w:t xml:space="preserve"> </w:t>
            </w:r>
            <w:r>
              <w:rPr>
                <w:sz w:val="24"/>
                <w:szCs w:val="24"/>
                <w:lang w:val="ro-RO"/>
              </w:rPr>
              <w:t xml:space="preserve">deșeuri, este </w:t>
            </w:r>
            <w:r w:rsidRPr="00DE76E3">
              <w:rPr>
                <w:sz w:val="24"/>
                <w:szCs w:val="24"/>
                <w:lang w:val="ro-RO"/>
              </w:rPr>
              <w:t xml:space="preserve">puțin probabil </w:t>
            </w:r>
            <w:r>
              <w:rPr>
                <w:sz w:val="24"/>
                <w:szCs w:val="24"/>
                <w:lang w:val="ro-RO"/>
              </w:rPr>
              <w:t xml:space="preserve">ca recipientele </w:t>
            </w:r>
            <w:r w:rsidRPr="00DE76E3">
              <w:rPr>
                <w:sz w:val="24"/>
                <w:szCs w:val="24"/>
                <w:lang w:val="ro-RO"/>
              </w:rPr>
              <w:t>să fie reciclat</w:t>
            </w:r>
            <w:r>
              <w:rPr>
                <w:sz w:val="24"/>
                <w:szCs w:val="24"/>
                <w:lang w:val="ro-RO"/>
              </w:rPr>
              <w:t>e</w:t>
            </w:r>
            <w:r w:rsidRPr="00DE76E3">
              <w:rPr>
                <w:sz w:val="24"/>
                <w:szCs w:val="24"/>
                <w:lang w:val="ro-RO"/>
              </w:rPr>
              <w:t xml:space="preserve"> din cauza nivelu</w:t>
            </w:r>
            <w:r>
              <w:rPr>
                <w:sz w:val="24"/>
                <w:szCs w:val="24"/>
                <w:lang w:val="ro-RO"/>
              </w:rPr>
              <w:t>lui</w:t>
            </w:r>
            <w:r w:rsidRPr="00DE76E3">
              <w:rPr>
                <w:sz w:val="24"/>
                <w:szCs w:val="24"/>
                <w:lang w:val="ro-RO"/>
              </w:rPr>
              <w:t xml:space="preserve"> </w:t>
            </w:r>
            <w:r>
              <w:rPr>
                <w:sz w:val="24"/>
                <w:szCs w:val="24"/>
                <w:lang w:val="ro-RO"/>
              </w:rPr>
              <w:t>sporit</w:t>
            </w:r>
            <w:r w:rsidRPr="00DE76E3">
              <w:rPr>
                <w:sz w:val="24"/>
                <w:szCs w:val="24"/>
                <w:lang w:val="ro-RO"/>
              </w:rPr>
              <w:t xml:space="preserve"> de contaminare. </w:t>
            </w:r>
            <w:r>
              <w:rPr>
                <w:sz w:val="24"/>
                <w:szCs w:val="24"/>
                <w:lang w:val="ro-RO"/>
              </w:rPr>
              <w:t xml:space="preserve">Astfel deșeurile pot </w:t>
            </w:r>
            <w:r w:rsidRPr="00DE76E3">
              <w:rPr>
                <w:sz w:val="24"/>
                <w:szCs w:val="24"/>
                <w:lang w:val="ro-RO"/>
              </w:rPr>
              <w:t xml:space="preserve">dăuna vieții sălbatice sau </w:t>
            </w:r>
            <w:r>
              <w:rPr>
                <w:sz w:val="24"/>
                <w:szCs w:val="24"/>
                <w:lang w:val="ro-RO"/>
              </w:rPr>
              <w:t>pot</w:t>
            </w:r>
            <w:r w:rsidRPr="00DE76E3">
              <w:rPr>
                <w:sz w:val="24"/>
                <w:szCs w:val="24"/>
                <w:lang w:val="ro-RO"/>
              </w:rPr>
              <w:t xml:space="preserve"> pătrunde în </w:t>
            </w:r>
            <w:r>
              <w:rPr>
                <w:sz w:val="24"/>
                <w:szCs w:val="24"/>
                <w:lang w:val="ro-RO"/>
              </w:rPr>
              <w:t>cursurile de apă.</w:t>
            </w:r>
          </w:p>
        </w:tc>
      </w:tr>
      <w:tr w:rsidR="00457A8E" w:rsidRPr="00BA709E" w14:paraId="5818DDDA"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40C6D7" w14:textId="77777777" w:rsidR="00457A8E" w:rsidRPr="00BA709E" w:rsidRDefault="00457A8E" w:rsidP="00250584">
            <w:pPr>
              <w:ind w:firstLine="0"/>
              <w:jc w:val="left"/>
              <w:rPr>
                <w:sz w:val="24"/>
                <w:szCs w:val="24"/>
                <w:lang w:val="ro-RO"/>
              </w:rPr>
            </w:pPr>
            <w:r w:rsidRPr="00BA709E">
              <w:rPr>
                <w:b/>
                <w:bCs/>
                <w:sz w:val="24"/>
                <w:szCs w:val="24"/>
                <w:lang w:val="ro-RO"/>
              </w:rPr>
              <w:t>5. Implementarea şi monitorizarea</w:t>
            </w:r>
          </w:p>
        </w:tc>
      </w:tr>
      <w:tr w:rsidR="008103CD" w:rsidRPr="00BA709E" w14:paraId="0672BF12"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3D36E" w14:textId="77777777" w:rsidR="00457A8E" w:rsidRPr="00BA709E" w:rsidRDefault="00457A8E" w:rsidP="00250584">
            <w:pPr>
              <w:ind w:firstLine="0"/>
              <w:jc w:val="left"/>
              <w:rPr>
                <w:bCs/>
                <w:sz w:val="24"/>
                <w:szCs w:val="24"/>
                <w:lang w:val="ro-RO"/>
              </w:rPr>
            </w:pPr>
            <w:r w:rsidRPr="00BA709E">
              <w:rPr>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D2F7A2" w14:textId="77777777" w:rsidR="00457A8E" w:rsidRPr="00BA709E" w:rsidRDefault="00457A8E" w:rsidP="00250584">
            <w:pPr>
              <w:ind w:firstLine="0"/>
              <w:jc w:val="left"/>
              <w:rPr>
                <w:sz w:val="24"/>
                <w:szCs w:val="24"/>
                <w:lang w:val="ro-RO"/>
              </w:rPr>
            </w:pPr>
          </w:p>
        </w:tc>
      </w:tr>
      <w:tr w:rsidR="00457A8E" w:rsidRPr="00BA709E" w14:paraId="48559D1A"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8D85F" w14:textId="3731C59D" w:rsidR="00544892" w:rsidRPr="00544892" w:rsidRDefault="00544892" w:rsidP="00544892">
            <w:pPr>
              <w:ind w:firstLine="522"/>
              <w:rPr>
                <w:sz w:val="24"/>
                <w:szCs w:val="24"/>
                <w:lang w:val="ro-RO"/>
              </w:rPr>
            </w:pPr>
            <w:r w:rsidRPr="00544892">
              <w:rPr>
                <w:sz w:val="24"/>
                <w:szCs w:val="24"/>
                <w:lang w:val="ro-RO"/>
              </w:rPr>
              <w:t xml:space="preserve">Implementarea proiectului hotărârii </w:t>
            </w:r>
            <w:r w:rsidR="00F37CAF" w:rsidRPr="00F37CAF">
              <w:rPr>
                <w:sz w:val="24"/>
                <w:szCs w:val="24"/>
                <w:lang w:val="ro-RO"/>
              </w:rPr>
              <w:t>privind stabilirea Sistemului de depozit pentru ambalaje</w:t>
            </w:r>
            <w:r w:rsidRPr="00544892">
              <w:rPr>
                <w:sz w:val="24"/>
                <w:szCs w:val="24"/>
                <w:lang w:val="ro-RO"/>
              </w:rPr>
              <w:t xml:space="preserve">, va </w:t>
            </w:r>
            <w:r>
              <w:rPr>
                <w:sz w:val="24"/>
                <w:szCs w:val="24"/>
                <w:lang w:val="ro-RO"/>
              </w:rPr>
              <w:t xml:space="preserve">fi </w:t>
            </w:r>
            <w:r w:rsidRPr="00544892">
              <w:rPr>
                <w:sz w:val="24"/>
                <w:szCs w:val="24"/>
                <w:lang w:val="ro-RO"/>
              </w:rPr>
              <w:t>iniția</w:t>
            </w:r>
            <w:r>
              <w:rPr>
                <w:sz w:val="24"/>
                <w:szCs w:val="24"/>
                <w:lang w:val="ro-RO"/>
              </w:rPr>
              <w:t>tă</w:t>
            </w:r>
            <w:r w:rsidRPr="00544892">
              <w:rPr>
                <w:sz w:val="24"/>
                <w:szCs w:val="24"/>
                <w:lang w:val="ro-RO"/>
              </w:rPr>
              <w:t xml:space="preserve"> </w:t>
            </w:r>
            <w:r w:rsidRPr="00D93D17">
              <w:rPr>
                <w:sz w:val="24"/>
                <w:szCs w:val="24"/>
                <w:lang w:val="ro-RO"/>
              </w:rPr>
              <w:t>odată cu intrarea în vigoare a acestuia, răsfrângându</w:t>
            </w:r>
            <w:r w:rsidRPr="00544892">
              <w:rPr>
                <w:sz w:val="24"/>
                <w:szCs w:val="24"/>
                <w:lang w:val="ro-RO"/>
              </w:rPr>
              <w:t xml:space="preserve">-se asupra tuturor agenților economici </w:t>
            </w:r>
            <w:r>
              <w:rPr>
                <w:sz w:val="24"/>
                <w:szCs w:val="24"/>
                <w:lang w:val="ro-RO"/>
              </w:rPr>
              <w:t>care plasează pe</w:t>
            </w:r>
            <w:r w:rsidRPr="00544892">
              <w:rPr>
                <w:sz w:val="24"/>
                <w:szCs w:val="24"/>
                <w:lang w:val="ro-RO"/>
              </w:rPr>
              <w:t xml:space="preserve"> piața Republicii Moldova</w:t>
            </w:r>
            <w:r>
              <w:rPr>
                <w:sz w:val="24"/>
                <w:szCs w:val="24"/>
                <w:lang w:val="ro-RO"/>
              </w:rPr>
              <w:t xml:space="preserve"> băuturi în ambalaje </w:t>
            </w:r>
            <w:r w:rsidR="00A81D83" w:rsidRPr="00A81D83">
              <w:rPr>
                <w:sz w:val="24"/>
                <w:szCs w:val="24"/>
                <w:lang w:val="ro-RO"/>
              </w:rPr>
              <w:t xml:space="preserve">de unică folosință </w:t>
            </w:r>
            <w:r>
              <w:rPr>
                <w:sz w:val="24"/>
                <w:szCs w:val="24"/>
                <w:lang w:val="ro-RO"/>
              </w:rPr>
              <w:t>și reutilizabile</w:t>
            </w:r>
            <w:r w:rsidRPr="00544892">
              <w:rPr>
                <w:sz w:val="24"/>
                <w:szCs w:val="24"/>
                <w:lang w:val="ro-RO"/>
              </w:rPr>
              <w:t>, indiferent de proveniența acestora.</w:t>
            </w:r>
          </w:p>
          <w:p w14:paraId="0331B59E" w14:textId="77777777" w:rsidR="00544892" w:rsidRPr="00544892" w:rsidRDefault="00544892" w:rsidP="00544892">
            <w:pPr>
              <w:rPr>
                <w:sz w:val="24"/>
                <w:szCs w:val="24"/>
                <w:lang w:val="ro-RO"/>
              </w:rPr>
            </w:pPr>
            <w:r w:rsidRPr="00544892">
              <w:rPr>
                <w:sz w:val="24"/>
                <w:szCs w:val="24"/>
                <w:lang w:val="ro-RO"/>
              </w:rPr>
              <w:t xml:space="preserve">Pentru implementarea acestui proiect </w:t>
            </w:r>
            <w:r>
              <w:rPr>
                <w:sz w:val="24"/>
                <w:szCs w:val="24"/>
                <w:lang w:val="ro-RO"/>
              </w:rPr>
              <w:t xml:space="preserve">este necesară aprobarea proiectului de modificare Legii privind deșeurile, care conține </w:t>
            </w:r>
            <w:r w:rsidRPr="00544892">
              <w:rPr>
                <w:sz w:val="24"/>
                <w:szCs w:val="24"/>
                <w:lang w:val="ro-RO"/>
              </w:rPr>
              <w:t>patru articole noi art. 54</w:t>
            </w:r>
            <w:r w:rsidRPr="00544892">
              <w:rPr>
                <w:sz w:val="24"/>
                <w:szCs w:val="24"/>
                <w:vertAlign w:val="superscript"/>
                <w:lang w:val="ro-RO"/>
              </w:rPr>
              <w:t>1</w:t>
            </w:r>
            <w:r w:rsidRPr="00544892">
              <w:rPr>
                <w:sz w:val="24"/>
                <w:szCs w:val="24"/>
                <w:lang w:val="ro-RO"/>
              </w:rPr>
              <w:t>- 54</w:t>
            </w:r>
            <w:r w:rsidRPr="00544892">
              <w:rPr>
                <w:sz w:val="24"/>
                <w:szCs w:val="24"/>
                <w:vertAlign w:val="superscript"/>
                <w:lang w:val="ro-RO"/>
              </w:rPr>
              <w:t>4</w:t>
            </w:r>
            <w:r w:rsidRPr="00544892">
              <w:rPr>
                <w:sz w:val="24"/>
                <w:szCs w:val="24"/>
                <w:lang w:val="ro-RO"/>
              </w:rPr>
              <w:t xml:space="preserve">, care </w:t>
            </w:r>
            <w:r>
              <w:rPr>
                <w:sz w:val="24"/>
                <w:szCs w:val="24"/>
                <w:lang w:val="ro-RO"/>
              </w:rPr>
              <w:t>conțin</w:t>
            </w:r>
            <w:r w:rsidRPr="00544892">
              <w:rPr>
                <w:sz w:val="24"/>
                <w:szCs w:val="24"/>
                <w:lang w:val="ro-RO"/>
              </w:rPr>
              <w:t xml:space="preserve"> obligațiile vânzăt</w:t>
            </w:r>
            <w:r>
              <w:rPr>
                <w:sz w:val="24"/>
                <w:szCs w:val="24"/>
                <w:lang w:val="ro-RO"/>
              </w:rPr>
              <w:t xml:space="preserve">orilor de ambalaje în sistemul </w:t>
            </w:r>
            <w:r w:rsidRPr="00544892">
              <w:rPr>
                <w:sz w:val="24"/>
                <w:szCs w:val="24"/>
                <w:lang w:val="ro-RO"/>
              </w:rPr>
              <w:t>depozit, cerințe către administratorul sistemului de depozit a ambalajelor reutilizabile și administratorul sistemului de depozit pentru ambalaje</w:t>
            </w:r>
            <w:r>
              <w:rPr>
                <w:sz w:val="24"/>
                <w:szCs w:val="24"/>
                <w:lang w:val="ro-RO"/>
              </w:rPr>
              <w:t>le</w:t>
            </w:r>
            <w:r w:rsidRPr="00544892">
              <w:rPr>
                <w:sz w:val="24"/>
                <w:szCs w:val="24"/>
                <w:lang w:val="ro-RO"/>
              </w:rPr>
              <w:t xml:space="preserve"> de unică folosință.</w:t>
            </w:r>
          </w:p>
          <w:p w14:paraId="251120AD" w14:textId="77777777" w:rsidR="00544892" w:rsidRPr="00544892" w:rsidRDefault="00544892" w:rsidP="00544892">
            <w:pPr>
              <w:ind w:firstLine="522"/>
              <w:rPr>
                <w:sz w:val="24"/>
                <w:szCs w:val="24"/>
                <w:lang w:val="ro-RO"/>
              </w:rPr>
            </w:pPr>
            <w:r w:rsidRPr="00544892">
              <w:rPr>
                <w:sz w:val="24"/>
                <w:szCs w:val="24"/>
                <w:lang w:val="ro-RO"/>
              </w:rPr>
              <w:t xml:space="preserve">Responsabil de implementarea proiectului este Ministerul </w:t>
            </w:r>
            <w:r>
              <w:rPr>
                <w:sz w:val="24"/>
                <w:szCs w:val="24"/>
                <w:lang w:val="ro-RO"/>
              </w:rPr>
              <w:t>Mediului</w:t>
            </w:r>
            <w:r w:rsidRPr="00544892">
              <w:rPr>
                <w:sz w:val="24"/>
                <w:szCs w:val="24"/>
                <w:lang w:val="ro-RO"/>
              </w:rPr>
              <w:t>.</w:t>
            </w:r>
            <w:r w:rsidR="00B86294" w:rsidRPr="007E5A65">
              <w:rPr>
                <w:color w:val="000000" w:themeColor="text1"/>
                <w:sz w:val="24"/>
                <w:szCs w:val="24"/>
                <w:lang w:val="ro-MD"/>
              </w:rPr>
              <w:t xml:space="preserve"> Agenția de Mediu și Inspectoratul pentru Protecția Mediului vor asigura implementarea proiectului de lege și nu este </w:t>
            </w:r>
            <w:r w:rsidR="00B86294" w:rsidRPr="007E5A65">
              <w:rPr>
                <w:color w:val="000000" w:themeColor="text1"/>
                <w:sz w:val="24"/>
                <w:szCs w:val="24"/>
                <w:lang w:val="ro-MD"/>
              </w:rPr>
              <w:lastRenderedPageBreak/>
              <w:t>necesară înființarea, reorganizarea sau desființarea unor instituții. Cu toate acestea, va fi necesar personal calificat, cu studii superioare pentru controlul conformității. Conform activităților pe care le desfășoară Agenția de Mediu și Inspectoratul pentru Protecția Mediului, aceasta va juca un rol foarte important în monitorizarea și controlul respectării prevederilor actului normativ.</w:t>
            </w:r>
          </w:p>
          <w:p w14:paraId="1D1F621F" w14:textId="77777777" w:rsidR="00544892" w:rsidRPr="00544892" w:rsidRDefault="00544892" w:rsidP="00544892">
            <w:pPr>
              <w:ind w:firstLine="522"/>
              <w:rPr>
                <w:sz w:val="24"/>
                <w:szCs w:val="24"/>
                <w:lang w:val="ro-RO"/>
              </w:rPr>
            </w:pPr>
            <w:r w:rsidRPr="00544892">
              <w:rPr>
                <w:sz w:val="24"/>
                <w:szCs w:val="24"/>
                <w:lang w:val="ro-RO"/>
              </w:rPr>
              <w:t>Odată cu aprobarea proiectului, Ministerul va publica un comunicat pe pagina web oficială a Ministerului, cât și va aduce la cunoștința agenților economici interesați informație despre actul aprobat.</w:t>
            </w:r>
          </w:p>
          <w:p w14:paraId="5803FE80" w14:textId="77777777" w:rsidR="00544892" w:rsidRDefault="00544892" w:rsidP="00544892">
            <w:pPr>
              <w:ind w:firstLine="522"/>
              <w:rPr>
                <w:sz w:val="24"/>
                <w:szCs w:val="24"/>
                <w:lang w:val="ro-RO"/>
              </w:rPr>
            </w:pPr>
            <w:r w:rsidRPr="00544892">
              <w:rPr>
                <w:sz w:val="24"/>
                <w:szCs w:val="24"/>
                <w:lang w:val="ro-RO"/>
              </w:rPr>
              <w:t>Actul normativ va fi publicat în Monitorul Oficial al Republicii Moldova, atât în limba română, cât și tradus în limba rusă.</w:t>
            </w:r>
          </w:p>
          <w:p w14:paraId="2C475A08" w14:textId="77777777" w:rsidR="00457A8E" w:rsidRPr="00BA709E" w:rsidRDefault="00457A8E" w:rsidP="00544892">
            <w:pPr>
              <w:ind w:firstLine="522"/>
              <w:rPr>
                <w:sz w:val="24"/>
                <w:szCs w:val="24"/>
                <w:lang w:val="ro-RO"/>
              </w:rPr>
            </w:pPr>
          </w:p>
        </w:tc>
      </w:tr>
      <w:tr w:rsidR="008103CD" w:rsidRPr="00BA709E" w14:paraId="1F73824A"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8D121" w14:textId="77777777" w:rsidR="00457A8E" w:rsidRPr="00BA709E" w:rsidRDefault="00457A8E" w:rsidP="00250584">
            <w:pPr>
              <w:ind w:firstLine="0"/>
              <w:jc w:val="left"/>
              <w:rPr>
                <w:bCs/>
                <w:sz w:val="24"/>
                <w:szCs w:val="24"/>
                <w:lang w:val="ro-RO"/>
              </w:rPr>
            </w:pPr>
            <w:r w:rsidRPr="00BA709E">
              <w:rPr>
                <w:bCs/>
                <w:sz w:val="24"/>
                <w:szCs w:val="24"/>
                <w:lang w:val="ro-RO"/>
              </w:rPr>
              <w:lastRenderedPageBreak/>
              <w:t>b) Indicați clar indicatorii de performanță în baza cărora se va efectua monitorizarea</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FB9AEF" w14:textId="77777777" w:rsidR="00457A8E" w:rsidRPr="00BA709E" w:rsidRDefault="00457A8E" w:rsidP="00250584">
            <w:pPr>
              <w:ind w:firstLine="0"/>
              <w:jc w:val="left"/>
              <w:rPr>
                <w:sz w:val="24"/>
                <w:szCs w:val="24"/>
                <w:lang w:val="ro-RO"/>
              </w:rPr>
            </w:pPr>
          </w:p>
        </w:tc>
      </w:tr>
      <w:tr w:rsidR="00457A8E" w:rsidRPr="00BA709E" w14:paraId="0ED7799B"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5A24F4" w14:textId="77777777" w:rsidR="00457A8E" w:rsidRPr="00544892" w:rsidRDefault="000D3F7C" w:rsidP="00544892">
            <w:pPr>
              <w:ind w:firstLine="0"/>
              <w:jc w:val="left"/>
              <w:rPr>
                <w:bCs/>
                <w:sz w:val="24"/>
                <w:szCs w:val="24"/>
                <w:lang w:val="ro-RO"/>
              </w:rPr>
            </w:pPr>
            <w:r w:rsidRPr="00BA709E">
              <w:rPr>
                <w:bCs/>
                <w:sz w:val="24"/>
                <w:szCs w:val="24"/>
                <w:lang w:val="ro-RO"/>
              </w:rPr>
              <w:t xml:space="preserve">Indicatorii de performanță în baza cărora se va efectua monitorizarea </w:t>
            </w:r>
            <w:r w:rsidR="00544892">
              <w:rPr>
                <w:bCs/>
                <w:sz w:val="24"/>
                <w:szCs w:val="24"/>
                <w:lang w:val="ro-RO"/>
              </w:rPr>
              <w:t xml:space="preserve">vor fi </w:t>
            </w:r>
            <w:r w:rsidRPr="00544892">
              <w:rPr>
                <w:bCs/>
                <w:sz w:val="24"/>
                <w:szCs w:val="24"/>
                <w:lang w:val="ro-RO"/>
              </w:rPr>
              <w:t xml:space="preserve">cantitatea de </w:t>
            </w:r>
            <w:r w:rsidR="00544892">
              <w:rPr>
                <w:bCs/>
                <w:sz w:val="24"/>
                <w:szCs w:val="24"/>
                <w:lang w:val="ro-RO"/>
              </w:rPr>
              <w:t>ambalaje colectate prin intermediul sistemului depozit, pe tip de ambalaj și material și cantitatea de deșeuri de ambalaje valorificată</w:t>
            </w:r>
            <w:r w:rsidRPr="00544892">
              <w:rPr>
                <w:bCs/>
                <w:sz w:val="24"/>
                <w:szCs w:val="24"/>
                <w:lang w:val="ro-RO"/>
              </w:rPr>
              <w:t>.</w:t>
            </w:r>
          </w:p>
          <w:p w14:paraId="764876D5" w14:textId="77777777" w:rsidR="00457A8E" w:rsidRPr="00BA709E" w:rsidRDefault="00457A8E" w:rsidP="00250584">
            <w:pPr>
              <w:ind w:firstLine="0"/>
              <w:jc w:val="left"/>
              <w:rPr>
                <w:bCs/>
                <w:sz w:val="24"/>
                <w:szCs w:val="24"/>
                <w:lang w:val="ro-RO"/>
              </w:rPr>
            </w:pPr>
          </w:p>
          <w:p w14:paraId="5503D38C" w14:textId="77777777" w:rsidR="00457A8E" w:rsidRPr="00BA709E" w:rsidRDefault="00457A8E" w:rsidP="00250584">
            <w:pPr>
              <w:ind w:firstLine="0"/>
              <w:jc w:val="left"/>
              <w:rPr>
                <w:sz w:val="24"/>
                <w:szCs w:val="24"/>
                <w:lang w:val="ro-RO"/>
              </w:rPr>
            </w:pPr>
          </w:p>
        </w:tc>
      </w:tr>
      <w:tr w:rsidR="008103CD" w:rsidRPr="00BA709E" w14:paraId="7536B87E"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0D751" w14:textId="77777777" w:rsidR="00457A8E" w:rsidRPr="00BA709E" w:rsidRDefault="00457A8E" w:rsidP="00250584">
            <w:pPr>
              <w:ind w:firstLine="0"/>
              <w:jc w:val="left"/>
              <w:rPr>
                <w:bCs/>
                <w:sz w:val="24"/>
                <w:szCs w:val="24"/>
                <w:lang w:val="ro-RO"/>
              </w:rPr>
            </w:pPr>
            <w:r w:rsidRPr="00BA709E">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313E7A" w14:textId="77777777" w:rsidR="00457A8E" w:rsidRPr="00BA709E" w:rsidRDefault="00457A8E" w:rsidP="00250584">
            <w:pPr>
              <w:ind w:firstLine="0"/>
              <w:jc w:val="left"/>
              <w:rPr>
                <w:sz w:val="24"/>
                <w:szCs w:val="24"/>
                <w:lang w:val="ro-RO"/>
              </w:rPr>
            </w:pPr>
          </w:p>
        </w:tc>
      </w:tr>
      <w:tr w:rsidR="00457A8E" w:rsidRPr="00BA709E" w14:paraId="66337D9C"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50A25F" w14:textId="77777777" w:rsidR="00544892" w:rsidRPr="00544892" w:rsidRDefault="00544892" w:rsidP="00544892">
            <w:pPr>
              <w:ind w:firstLine="0"/>
              <w:jc w:val="left"/>
              <w:rPr>
                <w:bCs/>
                <w:sz w:val="24"/>
                <w:szCs w:val="24"/>
                <w:lang w:val="ro-RO"/>
              </w:rPr>
            </w:pPr>
            <w:r w:rsidRPr="00544892">
              <w:rPr>
                <w:bCs/>
                <w:sz w:val="24"/>
                <w:szCs w:val="24"/>
                <w:lang w:val="ro-RO"/>
              </w:rPr>
              <w:t>Odată cu intrarea în vigoare a prevederilor prezentului proiect, impactul se va resimți imediat</w:t>
            </w:r>
            <w:r w:rsidR="004332B0">
              <w:rPr>
                <w:bCs/>
                <w:sz w:val="24"/>
                <w:szCs w:val="24"/>
                <w:lang w:val="ro-RO"/>
              </w:rPr>
              <w:t xml:space="preserve"> de către</w:t>
            </w:r>
            <w:r w:rsidRPr="00544892">
              <w:rPr>
                <w:bCs/>
                <w:sz w:val="24"/>
                <w:szCs w:val="24"/>
                <w:lang w:val="ro-RO"/>
              </w:rPr>
              <w:t xml:space="preserve"> agenții economici</w:t>
            </w:r>
            <w:r w:rsidR="004332B0">
              <w:rPr>
                <w:bCs/>
                <w:sz w:val="24"/>
                <w:szCs w:val="24"/>
                <w:lang w:val="ro-RO"/>
              </w:rPr>
              <w:t xml:space="preserve"> care plasează pe piață băuturi ambalate în ambalaje </w:t>
            </w:r>
            <w:r w:rsidR="00A81D83" w:rsidRPr="00A81D83">
              <w:rPr>
                <w:sz w:val="24"/>
                <w:szCs w:val="24"/>
                <w:lang w:val="ro-MD"/>
              </w:rPr>
              <w:t xml:space="preserve">de unică folosință </w:t>
            </w:r>
            <w:r w:rsidR="004332B0">
              <w:rPr>
                <w:bCs/>
                <w:sz w:val="24"/>
                <w:szCs w:val="24"/>
                <w:lang w:val="ro-RO"/>
              </w:rPr>
              <w:t>și reutilizabile</w:t>
            </w:r>
            <w:r w:rsidRPr="00544892">
              <w:rPr>
                <w:bCs/>
                <w:sz w:val="24"/>
                <w:szCs w:val="24"/>
                <w:lang w:val="ro-RO"/>
              </w:rPr>
              <w:t xml:space="preserve">, </w:t>
            </w:r>
            <w:r w:rsidR="004332B0">
              <w:rPr>
                <w:bCs/>
                <w:sz w:val="24"/>
                <w:szCs w:val="24"/>
                <w:lang w:val="ro-RO"/>
              </w:rPr>
              <w:t>care vor iniția activitățile de stabilire a Administratorului Sistemului și creare a logisticii de returnare a ambalajelor</w:t>
            </w:r>
            <w:r w:rsidRPr="00544892">
              <w:rPr>
                <w:bCs/>
                <w:sz w:val="24"/>
                <w:szCs w:val="24"/>
                <w:lang w:val="ro-RO"/>
              </w:rPr>
              <w:t xml:space="preserve">, </w:t>
            </w:r>
            <w:r w:rsidR="004332B0">
              <w:rPr>
                <w:bCs/>
                <w:sz w:val="24"/>
                <w:szCs w:val="24"/>
                <w:lang w:val="ro-RO"/>
              </w:rPr>
              <w:t>inclusiv modificarea etichetei. Imediat după stabilirea sistemului de depozit și după plasarea pe piață a băuturilor cu etichetă corespunzătoare,</w:t>
            </w:r>
            <w:r w:rsidRPr="00544892">
              <w:rPr>
                <w:bCs/>
                <w:sz w:val="24"/>
                <w:szCs w:val="24"/>
                <w:lang w:val="ro-RO"/>
              </w:rPr>
              <w:t xml:space="preserve"> consumatorii vor achiziționa aceleași produse </w:t>
            </w:r>
            <w:r w:rsidR="004332B0">
              <w:rPr>
                <w:bCs/>
                <w:sz w:val="24"/>
                <w:szCs w:val="24"/>
                <w:lang w:val="ro-RO"/>
              </w:rPr>
              <w:t>și vor beneficia de returnarea depozitului achitat</w:t>
            </w:r>
            <w:r w:rsidRPr="00544892">
              <w:rPr>
                <w:bCs/>
                <w:sz w:val="24"/>
                <w:szCs w:val="24"/>
                <w:lang w:val="ro-RO"/>
              </w:rPr>
              <w:t>.</w:t>
            </w:r>
          </w:p>
          <w:p w14:paraId="6372063A" w14:textId="77777777" w:rsidR="00544892" w:rsidRPr="00544892" w:rsidRDefault="00995ACB" w:rsidP="00544892">
            <w:pPr>
              <w:ind w:firstLine="0"/>
              <w:jc w:val="left"/>
              <w:rPr>
                <w:bCs/>
                <w:sz w:val="24"/>
                <w:szCs w:val="24"/>
                <w:lang w:val="ro-RO"/>
              </w:rPr>
            </w:pPr>
            <w:r>
              <w:rPr>
                <w:bCs/>
                <w:sz w:val="24"/>
                <w:szCs w:val="24"/>
                <w:lang w:val="ro-RO"/>
              </w:rPr>
              <w:t xml:space="preserve">Administratorul sistemului depozit va raporta anual către Agenția de Mediu, prin intermediul SIAMD rata de colectare și valorificare a deșeurilor de ambalaje. </w:t>
            </w:r>
          </w:p>
          <w:p w14:paraId="2865D89B" w14:textId="77777777" w:rsidR="00457A8E" w:rsidRPr="00BA709E" w:rsidRDefault="00544892" w:rsidP="00995ACB">
            <w:pPr>
              <w:ind w:firstLine="0"/>
              <w:jc w:val="left"/>
              <w:rPr>
                <w:sz w:val="24"/>
                <w:szCs w:val="24"/>
                <w:lang w:val="ro-RO"/>
              </w:rPr>
            </w:pPr>
            <w:r w:rsidRPr="00544892">
              <w:rPr>
                <w:bCs/>
                <w:sz w:val="24"/>
                <w:szCs w:val="24"/>
                <w:lang w:val="ro-RO"/>
              </w:rPr>
              <w:t>Evaluarea impactului se va efectua în baza indicatorilor propuși spre monitorizare, indicați în sub compartimentul b) al compartimentului dat.</w:t>
            </w:r>
          </w:p>
        </w:tc>
      </w:tr>
      <w:tr w:rsidR="00457A8E" w:rsidRPr="00BA709E" w14:paraId="5FC365EB"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66B890" w14:textId="77777777" w:rsidR="00457A8E" w:rsidRPr="00BA709E" w:rsidRDefault="00457A8E" w:rsidP="00250584">
            <w:pPr>
              <w:ind w:firstLine="0"/>
              <w:jc w:val="left"/>
              <w:rPr>
                <w:sz w:val="24"/>
                <w:szCs w:val="24"/>
                <w:lang w:val="ro-RO"/>
              </w:rPr>
            </w:pPr>
            <w:r w:rsidRPr="00BA709E">
              <w:rPr>
                <w:b/>
                <w:bCs/>
                <w:sz w:val="24"/>
                <w:szCs w:val="24"/>
                <w:lang w:val="ro-RO"/>
              </w:rPr>
              <w:t>6. Consultarea</w:t>
            </w:r>
          </w:p>
        </w:tc>
      </w:tr>
      <w:tr w:rsidR="008103CD" w:rsidRPr="00BA709E" w14:paraId="6055E855"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9E101" w14:textId="77777777" w:rsidR="00457A8E" w:rsidRPr="00BA709E" w:rsidRDefault="00457A8E" w:rsidP="00250584">
            <w:pPr>
              <w:ind w:firstLine="0"/>
              <w:jc w:val="left"/>
              <w:rPr>
                <w:bCs/>
                <w:sz w:val="24"/>
                <w:szCs w:val="24"/>
                <w:lang w:val="ro-RO"/>
              </w:rPr>
            </w:pPr>
            <w:r w:rsidRPr="00BA709E">
              <w:rPr>
                <w:sz w:val="24"/>
                <w:szCs w:val="24"/>
                <w:lang w:val="ro-RO"/>
              </w:rPr>
              <w:t>a) Identificați principalele părţi (grupuri) interesate în intervenţia propusă</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A9CE22" w14:textId="77777777" w:rsidR="00457A8E" w:rsidRPr="00BA709E" w:rsidRDefault="00457A8E" w:rsidP="00250584">
            <w:pPr>
              <w:ind w:firstLine="0"/>
              <w:jc w:val="left"/>
              <w:rPr>
                <w:sz w:val="24"/>
                <w:szCs w:val="24"/>
                <w:lang w:val="ro-RO"/>
              </w:rPr>
            </w:pPr>
          </w:p>
        </w:tc>
      </w:tr>
      <w:tr w:rsidR="00457A8E" w:rsidRPr="00BA709E" w14:paraId="294F228F"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BEF9FE" w14:textId="08AB760B" w:rsidR="00B86294" w:rsidRPr="007E5A65" w:rsidRDefault="00B86294" w:rsidP="00B86294">
            <w:pPr>
              <w:shd w:val="clear" w:color="auto" w:fill="FFFFFF" w:themeFill="background1"/>
              <w:ind w:firstLine="0"/>
              <w:rPr>
                <w:color w:val="000000" w:themeColor="text1"/>
                <w:sz w:val="24"/>
                <w:szCs w:val="24"/>
                <w:lang w:val="ro-MD" w:eastAsia="ru-RU"/>
              </w:rPr>
            </w:pPr>
            <w:r w:rsidRPr="007E5A65">
              <w:rPr>
                <w:color w:val="000000" w:themeColor="text1"/>
                <w:sz w:val="24"/>
                <w:szCs w:val="24"/>
                <w:lang w:val="ro-MD" w:eastAsia="ru-RU"/>
              </w:rPr>
              <w:t xml:space="preserve">Principalele părți care ar putea fi ulterior afectate odată cu elaborarea și aprobarea </w:t>
            </w:r>
            <w:r w:rsidRPr="007E5A65">
              <w:rPr>
                <w:color w:val="000000" w:themeColor="text1"/>
                <w:sz w:val="24"/>
                <w:szCs w:val="24"/>
                <w:lang w:val="ro-MD"/>
              </w:rPr>
              <w:t>proiectului</w:t>
            </w:r>
            <w:r>
              <w:rPr>
                <w:color w:val="000000" w:themeColor="text1"/>
                <w:sz w:val="24"/>
                <w:szCs w:val="24"/>
                <w:lang w:val="ro-MD"/>
              </w:rPr>
              <w:t xml:space="preserve"> </w:t>
            </w:r>
            <w:r w:rsidRPr="00544892">
              <w:rPr>
                <w:sz w:val="24"/>
                <w:szCs w:val="24"/>
                <w:lang w:val="ro-RO"/>
              </w:rPr>
              <w:t xml:space="preserve">hotărârii </w:t>
            </w:r>
            <w:r>
              <w:rPr>
                <w:sz w:val="24"/>
                <w:szCs w:val="24"/>
                <w:lang w:val="ro-RO"/>
              </w:rPr>
              <w:t xml:space="preserve">Guvernului </w:t>
            </w:r>
            <w:r w:rsidR="00F37CAF" w:rsidRPr="00F37CAF">
              <w:rPr>
                <w:sz w:val="24"/>
                <w:szCs w:val="24"/>
                <w:lang w:val="ro-RO"/>
              </w:rPr>
              <w:t>privind stabilirea Sistemului de depozit pentru ambalaje</w:t>
            </w:r>
            <w:r w:rsidRPr="007E5A65">
              <w:rPr>
                <w:color w:val="000000" w:themeColor="text1"/>
                <w:sz w:val="24"/>
                <w:szCs w:val="24"/>
                <w:lang w:val="ro-MD" w:eastAsia="ru-RU"/>
              </w:rPr>
              <w:t xml:space="preserve">, sunt: </w:t>
            </w:r>
          </w:p>
          <w:p w14:paraId="6B895B70" w14:textId="77777777" w:rsidR="00B86294" w:rsidRDefault="00B86294" w:rsidP="00A81D83">
            <w:pPr>
              <w:shd w:val="clear" w:color="auto" w:fill="FFFFFF" w:themeFill="background1"/>
              <w:ind w:firstLine="0"/>
              <w:rPr>
                <w:color w:val="000000" w:themeColor="text1"/>
                <w:sz w:val="24"/>
                <w:szCs w:val="24"/>
                <w:lang w:val="ro-MD"/>
              </w:rPr>
            </w:pPr>
            <w:r w:rsidRPr="007E5A65">
              <w:rPr>
                <w:i/>
                <w:color w:val="000000" w:themeColor="text1"/>
                <w:sz w:val="24"/>
                <w:szCs w:val="24"/>
                <w:lang w:val="ro-MD" w:eastAsia="ru-RU"/>
              </w:rPr>
              <w:t xml:space="preserve"> </w:t>
            </w:r>
            <w:r>
              <w:rPr>
                <w:color w:val="000000" w:themeColor="text1"/>
                <w:sz w:val="24"/>
                <w:szCs w:val="24"/>
                <w:lang w:val="ro-MD"/>
              </w:rPr>
              <w:t xml:space="preserve">Agenții economici </w:t>
            </w:r>
            <w:r w:rsidR="00D373AF">
              <w:rPr>
                <w:color w:val="000000" w:themeColor="text1"/>
                <w:sz w:val="24"/>
                <w:szCs w:val="24"/>
                <w:lang w:val="ro-MD"/>
              </w:rPr>
              <w:t xml:space="preserve">care plasează pe piață băuturi în ambalaje </w:t>
            </w:r>
            <w:r w:rsidR="00A81D83" w:rsidRPr="00A81D83">
              <w:rPr>
                <w:sz w:val="24"/>
                <w:szCs w:val="24"/>
                <w:lang w:val="ro-MD"/>
              </w:rPr>
              <w:t xml:space="preserve">de unică folosință </w:t>
            </w:r>
            <w:r w:rsidR="00D373AF">
              <w:rPr>
                <w:color w:val="000000" w:themeColor="text1"/>
                <w:sz w:val="24"/>
                <w:szCs w:val="24"/>
                <w:lang w:val="ro-MD"/>
              </w:rPr>
              <w:t xml:space="preserve">și reutilizabile </w:t>
            </w:r>
          </w:p>
          <w:p w14:paraId="0F85D38C" w14:textId="77777777" w:rsidR="00B86294" w:rsidRPr="007E5A65" w:rsidRDefault="00B86294" w:rsidP="00B86294">
            <w:pPr>
              <w:numPr>
                <w:ilvl w:val="1"/>
                <w:numId w:val="18"/>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 xml:space="preserve">Ministerul Mediului; </w:t>
            </w:r>
          </w:p>
          <w:p w14:paraId="1C115F14" w14:textId="77777777" w:rsidR="00B86294" w:rsidRPr="007E5A65" w:rsidRDefault="00B86294" w:rsidP="00B86294">
            <w:pPr>
              <w:numPr>
                <w:ilvl w:val="1"/>
                <w:numId w:val="18"/>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Agenția de Mediu;</w:t>
            </w:r>
          </w:p>
          <w:p w14:paraId="6179451A" w14:textId="77777777" w:rsidR="00B86294" w:rsidRPr="007E5A65" w:rsidRDefault="00B86294" w:rsidP="00B86294">
            <w:pPr>
              <w:numPr>
                <w:ilvl w:val="1"/>
                <w:numId w:val="18"/>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Inspectoratul pentru Protecția Mediului;</w:t>
            </w:r>
          </w:p>
          <w:p w14:paraId="045CD130" w14:textId="77777777" w:rsidR="00B86294" w:rsidRDefault="00B86294" w:rsidP="00B86294">
            <w:pPr>
              <w:numPr>
                <w:ilvl w:val="1"/>
                <w:numId w:val="18"/>
              </w:numPr>
              <w:shd w:val="clear" w:color="auto" w:fill="FFFFFF" w:themeFill="background1"/>
              <w:suppressAutoHyphens/>
              <w:ind w:left="990"/>
              <w:rPr>
                <w:color w:val="000000" w:themeColor="text1"/>
                <w:sz w:val="24"/>
                <w:szCs w:val="24"/>
                <w:lang w:val="ro-MD"/>
              </w:rPr>
            </w:pPr>
            <w:r>
              <w:rPr>
                <w:color w:val="000000" w:themeColor="text1"/>
                <w:sz w:val="24"/>
                <w:szCs w:val="24"/>
                <w:lang w:val="ro-MD"/>
              </w:rPr>
              <w:t xml:space="preserve">Populația </w:t>
            </w:r>
          </w:p>
          <w:p w14:paraId="77D1D0A3" w14:textId="77777777" w:rsidR="00114C82" w:rsidRDefault="00114C82" w:rsidP="00B86294">
            <w:pPr>
              <w:numPr>
                <w:ilvl w:val="1"/>
                <w:numId w:val="18"/>
              </w:numPr>
              <w:shd w:val="clear" w:color="auto" w:fill="FFFFFF" w:themeFill="background1"/>
              <w:suppressAutoHyphens/>
              <w:ind w:left="990"/>
              <w:rPr>
                <w:color w:val="000000" w:themeColor="text1"/>
                <w:sz w:val="24"/>
                <w:szCs w:val="24"/>
                <w:lang w:val="ro-MD"/>
              </w:rPr>
            </w:pPr>
            <w:r>
              <w:rPr>
                <w:color w:val="000000" w:themeColor="text1"/>
                <w:sz w:val="24"/>
                <w:szCs w:val="24"/>
                <w:lang w:val="ro-MD"/>
              </w:rPr>
              <w:t>Autoritățile publice locale</w:t>
            </w:r>
          </w:p>
          <w:p w14:paraId="473DF1E1" w14:textId="77777777" w:rsidR="00114C82" w:rsidRPr="007E5A65" w:rsidRDefault="00114C82" w:rsidP="00114C82">
            <w:pPr>
              <w:shd w:val="clear" w:color="auto" w:fill="FFFFFF" w:themeFill="background1"/>
              <w:suppressAutoHyphens/>
              <w:ind w:left="990" w:firstLine="0"/>
              <w:rPr>
                <w:color w:val="000000" w:themeColor="text1"/>
                <w:sz w:val="24"/>
                <w:szCs w:val="24"/>
                <w:lang w:val="ro-MD"/>
              </w:rPr>
            </w:pPr>
          </w:p>
          <w:p w14:paraId="2E751789" w14:textId="77777777" w:rsidR="00995ACB" w:rsidRPr="00995ACB" w:rsidRDefault="00995ACB" w:rsidP="00114C82">
            <w:pPr>
              <w:ind w:firstLine="522"/>
              <w:rPr>
                <w:sz w:val="24"/>
                <w:szCs w:val="24"/>
                <w:lang w:val="ro-RO"/>
              </w:rPr>
            </w:pPr>
            <w:r w:rsidRPr="00995ACB">
              <w:rPr>
                <w:sz w:val="24"/>
                <w:szCs w:val="24"/>
                <w:lang w:val="ro-RO"/>
              </w:rPr>
              <w:t xml:space="preserve">Agenții economici </w:t>
            </w:r>
            <w:r w:rsidR="00114C82" w:rsidRPr="00114C82">
              <w:rPr>
                <w:sz w:val="24"/>
                <w:szCs w:val="24"/>
                <w:lang w:val="ro-RO"/>
              </w:rPr>
              <w:t>care plasează pe piață băuturi în ambalaj</w:t>
            </w:r>
            <w:r w:rsidR="00114C82">
              <w:rPr>
                <w:sz w:val="24"/>
                <w:szCs w:val="24"/>
                <w:lang w:val="ro-RO"/>
              </w:rPr>
              <w:t xml:space="preserve">e </w:t>
            </w:r>
            <w:r w:rsidR="00A81D83" w:rsidRPr="00A81D83">
              <w:rPr>
                <w:sz w:val="24"/>
                <w:szCs w:val="24"/>
                <w:lang w:val="ro-MD"/>
              </w:rPr>
              <w:t xml:space="preserve">de unică folosință </w:t>
            </w:r>
            <w:r w:rsidR="00114C82">
              <w:rPr>
                <w:sz w:val="24"/>
                <w:szCs w:val="24"/>
                <w:lang w:val="ro-RO"/>
              </w:rPr>
              <w:t>și reutilizabile</w:t>
            </w:r>
            <w:r w:rsidR="00114C82" w:rsidRPr="00114C82">
              <w:rPr>
                <w:sz w:val="24"/>
                <w:szCs w:val="24"/>
                <w:lang w:val="ro-RO"/>
              </w:rPr>
              <w:t xml:space="preserve"> </w:t>
            </w:r>
            <w:r w:rsidRPr="00995ACB">
              <w:rPr>
                <w:sz w:val="24"/>
                <w:szCs w:val="24"/>
                <w:lang w:val="ro-RO"/>
              </w:rPr>
              <w:t xml:space="preserve">vor fi principalii beneficiari </w:t>
            </w:r>
            <w:r w:rsidR="00B86294">
              <w:rPr>
                <w:sz w:val="24"/>
                <w:szCs w:val="24"/>
                <w:lang w:val="ro-RO"/>
              </w:rPr>
              <w:t>vizați</w:t>
            </w:r>
            <w:r w:rsidRPr="00995ACB">
              <w:rPr>
                <w:sz w:val="24"/>
                <w:szCs w:val="24"/>
                <w:lang w:val="ro-RO"/>
              </w:rPr>
              <w:t xml:space="preserve"> </w:t>
            </w:r>
            <w:r w:rsidR="00D373AF">
              <w:rPr>
                <w:sz w:val="24"/>
                <w:szCs w:val="24"/>
                <w:lang w:val="ro-RO"/>
              </w:rPr>
              <w:t>după</w:t>
            </w:r>
            <w:r w:rsidRPr="00995ACB">
              <w:rPr>
                <w:sz w:val="24"/>
                <w:szCs w:val="24"/>
                <w:lang w:val="ro-RO"/>
              </w:rPr>
              <w:t xml:space="preserve"> promovarea proiectului respectiv, urmare căreia </w:t>
            </w:r>
            <w:r w:rsidR="00D373AF">
              <w:rPr>
                <w:sz w:val="24"/>
                <w:szCs w:val="24"/>
                <w:lang w:val="ro-RO"/>
              </w:rPr>
              <w:t>vor trebui să se asocieze în vederea creării</w:t>
            </w:r>
            <w:r w:rsidR="00114C82">
              <w:rPr>
                <w:sz w:val="24"/>
                <w:szCs w:val="24"/>
                <w:lang w:val="ro-RO"/>
              </w:rPr>
              <w:t xml:space="preserve"> Administratorului</w:t>
            </w:r>
            <w:r w:rsidR="00D373AF">
              <w:rPr>
                <w:sz w:val="24"/>
                <w:szCs w:val="24"/>
                <w:lang w:val="ro-RO"/>
              </w:rPr>
              <w:t xml:space="preserve"> sistemului depozit</w:t>
            </w:r>
            <w:r w:rsidRPr="00995ACB">
              <w:rPr>
                <w:sz w:val="24"/>
                <w:szCs w:val="24"/>
                <w:lang w:val="ro-RO"/>
              </w:rPr>
              <w:t>.</w:t>
            </w:r>
          </w:p>
          <w:p w14:paraId="5D14B198" w14:textId="77777777" w:rsidR="00FD4420" w:rsidRDefault="00114C82" w:rsidP="00114C82">
            <w:pPr>
              <w:shd w:val="clear" w:color="auto" w:fill="FFFFFF" w:themeFill="background1"/>
              <w:suppressAutoHyphens/>
              <w:rPr>
                <w:color w:val="000000" w:themeColor="text1"/>
                <w:sz w:val="24"/>
                <w:szCs w:val="24"/>
                <w:lang w:val="ro-MD"/>
              </w:rPr>
            </w:pPr>
            <w:r>
              <w:rPr>
                <w:sz w:val="24"/>
                <w:szCs w:val="24"/>
                <w:lang w:val="ro-RO"/>
              </w:rPr>
              <w:t>C</w:t>
            </w:r>
            <w:r w:rsidR="00995ACB" w:rsidRPr="00995ACB">
              <w:rPr>
                <w:sz w:val="24"/>
                <w:szCs w:val="24"/>
                <w:lang w:val="ro-RO"/>
              </w:rPr>
              <w:t xml:space="preserve">onsumatorii </w:t>
            </w:r>
            <w:r>
              <w:rPr>
                <w:sz w:val="24"/>
                <w:szCs w:val="24"/>
                <w:lang w:val="ro-RO"/>
              </w:rPr>
              <w:t xml:space="preserve">de băuturi </w:t>
            </w:r>
            <w:r>
              <w:rPr>
                <w:color w:val="000000" w:themeColor="text1"/>
                <w:sz w:val="24"/>
                <w:szCs w:val="24"/>
                <w:lang w:val="ro-MD"/>
              </w:rPr>
              <w:t xml:space="preserve">în ambalaje </w:t>
            </w:r>
            <w:r w:rsidR="00A81D83" w:rsidRPr="00A81D83">
              <w:rPr>
                <w:sz w:val="24"/>
                <w:szCs w:val="24"/>
                <w:lang w:val="ro-MD"/>
              </w:rPr>
              <w:t xml:space="preserve">de unică folosință </w:t>
            </w:r>
            <w:r>
              <w:rPr>
                <w:color w:val="000000" w:themeColor="text1"/>
                <w:sz w:val="24"/>
                <w:szCs w:val="24"/>
                <w:lang w:val="ro-MD"/>
              </w:rPr>
              <w:t xml:space="preserve">și reutilizabile vor fi </w:t>
            </w:r>
            <w:r w:rsidR="00FD4420" w:rsidRPr="00FD4420">
              <w:rPr>
                <w:color w:val="000000" w:themeColor="text1"/>
                <w:sz w:val="24"/>
                <w:szCs w:val="24"/>
                <w:lang w:val="ro-MD"/>
              </w:rPr>
              <w:t>încuraja</w:t>
            </w:r>
            <w:r w:rsidR="00FD4420">
              <w:rPr>
                <w:color w:val="000000" w:themeColor="text1"/>
                <w:sz w:val="24"/>
                <w:szCs w:val="24"/>
                <w:lang w:val="ro-MD"/>
              </w:rPr>
              <w:t>ți</w:t>
            </w:r>
            <w:r w:rsidR="00FD4420" w:rsidRPr="00FD4420">
              <w:rPr>
                <w:color w:val="000000" w:themeColor="text1"/>
                <w:sz w:val="24"/>
                <w:szCs w:val="24"/>
                <w:lang w:val="ro-MD"/>
              </w:rPr>
              <w:t xml:space="preserve"> să depună recipiente</w:t>
            </w:r>
            <w:r w:rsidR="00FD4420">
              <w:rPr>
                <w:color w:val="000000" w:themeColor="text1"/>
                <w:sz w:val="24"/>
                <w:szCs w:val="24"/>
                <w:lang w:val="ro-MD"/>
              </w:rPr>
              <w:t>le</w:t>
            </w:r>
            <w:r w:rsidR="00FD4420" w:rsidRPr="00FD4420">
              <w:rPr>
                <w:color w:val="000000" w:themeColor="text1"/>
                <w:sz w:val="24"/>
                <w:szCs w:val="24"/>
                <w:lang w:val="ro-MD"/>
              </w:rPr>
              <w:t xml:space="preserve"> pentru băuturi la un punct de colectare în loc </w:t>
            </w:r>
            <w:r w:rsidR="00FD4420">
              <w:rPr>
                <w:color w:val="000000" w:themeColor="text1"/>
                <w:sz w:val="24"/>
                <w:szCs w:val="24"/>
                <w:lang w:val="ro-MD"/>
              </w:rPr>
              <w:t>să le</w:t>
            </w:r>
            <w:r w:rsidR="00FD4420" w:rsidRPr="00FD4420">
              <w:rPr>
                <w:color w:val="000000" w:themeColor="text1"/>
                <w:sz w:val="24"/>
                <w:szCs w:val="24"/>
                <w:lang w:val="ro-MD"/>
              </w:rPr>
              <w:t xml:space="preserve"> arunc</w:t>
            </w:r>
            <w:r w:rsidR="00FD4420">
              <w:rPr>
                <w:color w:val="000000" w:themeColor="text1"/>
                <w:sz w:val="24"/>
                <w:szCs w:val="24"/>
                <w:lang w:val="ro-MD"/>
              </w:rPr>
              <w:t>e</w:t>
            </w:r>
            <w:r w:rsidR="00FD4420" w:rsidRPr="00FD4420">
              <w:rPr>
                <w:color w:val="000000" w:themeColor="text1"/>
                <w:sz w:val="24"/>
                <w:szCs w:val="24"/>
                <w:lang w:val="ro-MD"/>
              </w:rPr>
              <w:t xml:space="preserve">. </w:t>
            </w:r>
          </w:p>
          <w:p w14:paraId="7DEDF15A" w14:textId="77777777" w:rsidR="00114C82" w:rsidRPr="007E5A65" w:rsidRDefault="00FD4420" w:rsidP="00FD4420">
            <w:pPr>
              <w:shd w:val="clear" w:color="auto" w:fill="FFFFFF" w:themeFill="background1"/>
              <w:suppressAutoHyphens/>
              <w:rPr>
                <w:color w:val="000000" w:themeColor="text1"/>
                <w:sz w:val="24"/>
                <w:szCs w:val="24"/>
                <w:lang w:val="ro-MD"/>
              </w:rPr>
            </w:pPr>
            <w:r>
              <w:rPr>
                <w:color w:val="000000" w:themeColor="text1"/>
                <w:sz w:val="24"/>
                <w:szCs w:val="24"/>
                <w:lang w:val="ro-MD"/>
              </w:rPr>
              <w:t>I</w:t>
            </w:r>
            <w:r w:rsidRPr="00FD4420">
              <w:rPr>
                <w:color w:val="000000" w:themeColor="text1"/>
                <w:sz w:val="24"/>
                <w:szCs w:val="24"/>
                <w:lang w:val="ro-MD"/>
              </w:rPr>
              <w:t xml:space="preserve">ntroducerea </w:t>
            </w:r>
            <w:r>
              <w:rPr>
                <w:color w:val="000000" w:themeColor="text1"/>
                <w:sz w:val="24"/>
                <w:szCs w:val="24"/>
                <w:lang w:val="ro-MD"/>
              </w:rPr>
              <w:t>sistemului depozit</w:t>
            </w:r>
            <w:r w:rsidRPr="00FD4420">
              <w:rPr>
                <w:color w:val="000000" w:themeColor="text1"/>
                <w:sz w:val="24"/>
                <w:szCs w:val="24"/>
                <w:lang w:val="ro-MD"/>
              </w:rPr>
              <w:t xml:space="preserve"> va reduce costurile pentru autoritățile locale asociate cu </w:t>
            </w:r>
            <w:r>
              <w:rPr>
                <w:color w:val="000000" w:themeColor="text1"/>
                <w:sz w:val="24"/>
                <w:szCs w:val="24"/>
                <w:lang w:val="ro-MD"/>
              </w:rPr>
              <w:t xml:space="preserve">abaterea din fluxul de deșeuri a celor </w:t>
            </w:r>
            <w:r w:rsidR="00A81D83" w:rsidRPr="00A81D83">
              <w:rPr>
                <w:sz w:val="24"/>
                <w:szCs w:val="24"/>
                <w:lang w:val="ro-MD"/>
              </w:rPr>
              <w:t xml:space="preserve">de unică folosință </w:t>
            </w:r>
            <w:r>
              <w:rPr>
                <w:color w:val="000000" w:themeColor="text1"/>
                <w:sz w:val="24"/>
                <w:szCs w:val="24"/>
                <w:lang w:val="ro-MD"/>
              </w:rPr>
              <w:t xml:space="preserve">și reutilizabile. </w:t>
            </w:r>
            <w:r w:rsidR="00114C82" w:rsidRPr="007E5A65">
              <w:rPr>
                <w:color w:val="000000" w:themeColor="text1"/>
                <w:sz w:val="24"/>
                <w:szCs w:val="24"/>
                <w:lang w:val="ro-MD"/>
              </w:rPr>
              <w:t xml:space="preserve"> </w:t>
            </w:r>
          </w:p>
          <w:p w14:paraId="2C51016F" w14:textId="77777777" w:rsidR="00995ACB" w:rsidRPr="00995ACB" w:rsidRDefault="00995ACB" w:rsidP="00995ACB">
            <w:pPr>
              <w:ind w:firstLine="522"/>
              <w:rPr>
                <w:sz w:val="24"/>
                <w:szCs w:val="24"/>
                <w:lang w:val="ro-RO"/>
              </w:rPr>
            </w:pPr>
          </w:p>
          <w:p w14:paraId="3AB0BCFE" w14:textId="77777777" w:rsidR="00457A8E" w:rsidRPr="00BA709E" w:rsidRDefault="00457A8E" w:rsidP="000A134D">
            <w:pPr>
              <w:ind w:firstLine="0"/>
              <w:jc w:val="left"/>
              <w:rPr>
                <w:sz w:val="24"/>
                <w:szCs w:val="24"/>
                <w:lang w:val="ro-RO"/>
              </w:rPr>
            </w:pPr>
          </w:p>
        </w:tc>
      </w:tr>
      <w:tr w:rsidR="008103CD" w:rsidRPr="00BA709E" w14:paraId="20192D3F"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D89F6" w14:textId="77777777" w:rsidR="00457A8E" w:rsidRPr="00BA709E" w:rsidRDefault="00457A8E" w:rsidP="00250584">
            <w:pPr>
              <w:ind w:firstLine="0"/>
              <w:jc w:val="left"/>
              <w:rPr>
                <w:sz w:val="24"/>
                <w:szCs w:val="24"/>
                <w:lang w:val="ro-RO"/>
              </w:rPr>
            </w:pPr>
            <w:r w:rsidRPr="00BA709E">
              <w:rPr>
                <w:sz w:val="24"/>
                <w:szCs w:val="24"/>
                <w:lang w:val="ro-RO"/>
              </w:rPr>
              <w:t>b) Explicați succint cum (prin ce metode) s-a asigurat consultarea adecvată a părţilor</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D27D2E" w14:textId="77777777" w:rsidR="00457A8E" w:rsidRPr="00BA709E" w:rsidRDefault="00457A8E" w:rsidP="00250584">
            <w:pPr>
              <w:ind w:firstLine="0"/>
              <w:jc w:val="left"/>
              <w:rPr>
                <w:sz w:val="24"/>
                <w:szCs w:val="24"/>
                <w:lang w:val="ro-RO"/>
              </w:rPr>
            </w:pPr>
          </w:p>
        </w:tc>
      </w:tr>
      <w:tr w:rsidR="00457A8E" w:rsidRPr="00BA709E" w14:paraId="577109ED"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99412" w14:textId="77777777" w:rsidR="000A134D" w:rsidRPr="00BA709E" w:rsidRDefault="00065550" w:rsidP="00250584">
            <w:pPr>
              <w:ind w:firstLine="0"/>
              <w:jc w:val="left"/>
              <w:rPr>
                <w:sz w:val="24"/>
                <w:szCs w:val="24"/>
                <w:lang w:val="ro-RO"/>
              </w:rPr>
            </w:pPr>
            <w:r>
              <w:rPr>
                <w:sz w:val="24"/>
                <w:szCs w:val="24"/>
                <w:lang w:val="ro-RO"/>
              </w:rPr>
              <w:lastRenderedPageBreak/>
              <w:t>Propunerea de modificare a Legii privind deșeurile nr. 209/2016, inclusiv A</w:t>
            </w:r>
            <w:r w:rsidRPr="00065550">
              <w:rPr>
                <w:sz w:val="24"/>
                <w:szCs w:val="24"/>
                <w:lang w:val="ro-RO"/>
              </w:rPr>
              <w:t>rticole</w:t>
            </w:r>
            <w:r>
              <w:rPr>
                <w:sz w:val="24"/>
                <w:szCs w:val="24"/>
                <w:lang w:val="ro-RO"/>
              </w:rPr>
              <w:t>le</w:t>
            </w:r>
            <w:r w:rsidRPr="00065550">
              <w:rPr>
                <w:sz w:val="24"/>
                <w:szCs w:val="24"/>
                <w:lang w:val="ro-RO"/>
              </w:rPr>
              <w:t xml:space="preserve"> noi 54</w:t>
            </w:r>
            <w:r w:rsidRPr="00065550">
              <w:rPr>
                <w:sz w:val="24"/>
                <w:szCs w:val="24"/>
                <w:vertAlign w:val="superscript"/>
                <w:lang w:val="ro-RO"/>
              </w:rPr>
              <w:t>1</w:t>
            </w:r>
            <w:r w:rsidRPr="00065550">
              <w:rPr>
                <w:sz w:val="24"/>
                <w:szCs w:val="24"/>
                <w:lang w:val="ro-RO"/>
              </w:rPr>
              <w:t>- 54</w:t>
            </w:r>
            <w:r w:rsidRPr="00065550">
              <w:rPr>
                <w:sz w:val="24"/>
                <w:szCs w:val="24"/>
                <w:vertAlign w:val="superscript"/>
                <w:lang w:val="ro-RO"/>
              </w:rPr>
              <w:t>4</w:t>
            </w:r>
            <w:r w:rsidRPr="00065550">
              <w:rPr>
                <w:sz w:val="24"/>
                <w:szCs w:val="24"/>
                <w:lang w:val="ro-RO"/>
              </w:rPr>
              <w:t>, care conțin obligațiile vânzătorilor de ambalaje în sistemul depozit, cerințe</w:t>
            </w:r>
            <w:r>
              <w:rPr>
                <w:sz w:val="24"/>
                <w:szCs w:val="24"/>
                <w:lang w:val="ro-RO"/>
              </w:rPr>
              <w:t>le</w:t>
            </w:r>
            <w:r w:rsidRPr="00065550">
              <w:rPr>
                <w:sz w:val="24"/>
                <w:szCs w:val="24"/>
                <w:lang w:val="ro-RO"/>
              </w:rPr>
              <w:t xml:space="preserve"> către administratorul sistemului de depozit a ambalajelor reutilizabile și administratorul sistemului de depozit pentr</w:t>
            </w:r>
            <w:r>
              <w:rPr>
                <w:sz w:val="24"/>
                <w:szCs w:val="24"/>
                <w:lang w:val="ro-RO"/>
              </w:rPr>
              <w:t>u ambalajele de uni</w:t>
            </w:r>
            <w:r w:rsidR="00744260">
              <w:rPr>
                <w:sz w:val="24"/>
                <w:szCs w:val="24"/>
                <w:lang w:val="ro-RO"/>
              </w:rPr>
              <w:t>că folosință, au fost abordate și discutate</w:t>
            </w:r>
            <w:r>
              <w:rPr>
                <w:sz w:val="24"/>
                <w:szCs w:val="24"/>
                <w:lang w:val="ro-RO"/>
              </w:rPr>
              <w:t xml:space="preserve"> în timpul ședinței cu asociația de business Asociația Investitorilor Străini, care a avut loc pe data de 11 august, 2022.</w:t>
            </w:r>
            <w:r w:rsidR="00744260">
              <w:rPr>
                <w:sz w:val="24"/>
                <w:szCs w:val="24"/>
                <w:lang w:val="ro-RO"/>
              </w:rPr>
              <w:t xml:space="preserve"> fost prezenți circa </w:t>
            </w:r>
            <w:hyperlink r:id="rId28" w:history="1">
              <w:r w:rsidR="00744260" w:rsidRPr="009B56DC">
                <w:rPr>
                  <w:rStyle w:val="a4"/>
                  <w:sz w:val="24"/>
                  <w:szCs w:val="24"/>
                  <w:lang w:val="ro-RO"/>
                </w:rPr>
                <w:t>https://fia.md/event/workshop-on-the-implementation-of-waste-legislation/</w:t>
              </w:r>
            </w:hyperlink>
            <w:r w:rsidR="00744260">
              <w:rPr>
                <w:sz w:val="24"/>
                <w:szCs w:val="24"/>
                <w:lang w:val="ro-RO"/>
              </w:rPr>
              <w:t xml:space="preserve"> </w:t>
            </w:r>
          </w:p>
          <w:p w14:paraId="1BE22346" w14:textId="77777777" w:rsidR="00FD4420" w:rsidRDefault="00FD4420" w:rsidP="00065550">
            <w:pPr>
              <w:pStyle w:val="lf"/>
              <w:rPr>
                <w:rFonts w:eastAsia="Times New Roman"/>
                <w:lang w:val="ro-RO" w:eastAsia="en-US"/>
              </w:rPr>
            </w:pPr>
          </w:p>
          <w:p w14:paraId="4D6FF8C4" w14:textId="77777777" w:rsidR="00744260" w:rsidRDefault="00744260" w:rsidP="00065550">
            <w:pPr>
              <w:pStyle w:val="lf"/>
              <w:rPr>
                <w:rFonts w:eastAsia="Times New Roman"/>
                <w:lang w:val="ro-RO" w:eastAsia="en-US"/>
              </w:rPr>
            </w:pPr>
            <w:r>
              <w:rPr>
                <w:rFonts w:eastAsia="Times New Roman"/>
                <w:lang w:val="ro-RO" w:eastAsia="en-US"/>
              </w:rPr>
              <w:t xml:space="preserve">Subiectul stabilirii sistemului de depozit a fost discutat în timpul diverselor ședințe de lucru cu mediului de afaceri și Ministerul Mediului, în care au fost abordate problemele de implementare a responsabilității extinse a producătorului, plata poluării mediului, etc. </w:t>
            </w:r>
          </w:p>
          <w:p w14:paraId="5BA74F5B" w14:textId="77777777" w:rsidR="00744260" w:rsidRPr="00744260" w:rsidRDefault="00000000" w:rsidP="00744260">
            <w:pPr>
              <w:ind w:firstLine="0"/>
              <w:jc w:val="left"/>
              <w:rPr>
                <w:rStyle w:val="a4"/>
                <w:sz w:val="24"/>
                <w:lang w:val="ro-RO"/>
              </w:rPr>
            </w:pPr>
            <w:hyperlink r:id="rId29" w:history="1">
              <w:r w:rsidR="00744260" w:rsidRPr="00744260">
                <w:rPr>
                  <w:rStyle w:val="a4"/>
                  <w:sz w:val="24"/>
                  <w:lang w:val="ro-RO"/>
                </w:rPr>
                <w:t>http://mediu.gov.md/ro/content/4105</w:t>
              </w:r>
            </w:hyperlink>
            <w:r w:rsidR="00744260" w:rsidRPr="0005353F">
              <w:rPr>
                <w:rStyle w:val="a4"/>
                <w:sz w:val="24"/>
                <w:lang w:val="ro-RO"/>
              </w:rPr>
              <w:t xml:space="preserve">  </w:t>
            </w:r>
          </w:p>
          <w:p w14:paraId="3C9C379E" w14:textId="77777777" w:rsidR="00744260" w:rsidRPr="00744260" w:rsidRDefault="00000000" w:rsidP="00744260">
            <w:pPr>
              <w:ind w:firstLine="0"/>
              <w:jc w:val="left"/>
              <w:rPr>
                <w:rStyle w:val="a4"/>
                <w:sz w:val="24"/>
                <w:lang w:val="ro-RO"/>
              </w:rPr>
            </w:pPr>
            <w:hyperlink r:id="rId30" w:history="1">
              <w:r w:rsidR="00744260" w:rsidRPr="00744260">
                <w:rPr>
                  <w:rStyle w:val="a4"/>
                  <w:sz w:val="24"/>
                  <w:lang w:val="ro-RO"/>
                </w:rPr>
                <w:t>http://mediu.gov.md/ro/content/4089</w:t>
              </w:r>
            </w:hyperlink>
          </w:p>
          <w:p w14:paraId="500E6EE8" w14:textId="77777777" w:rsidR="00744260" w:rsidRDefault="00744260" w:rsidP="00744260">
            <w:pPr>
              <w:ind w:firstLine="0"/>
              <w:jc w:val="left"/>
              <w:rPr>
                <w:rStyle w:val="a4"/>
                <w:sz w:val="24"/>
                <w:lang w:val="ro-RO"/>
              </w:rPr>
            </w:pPr>
          </w:p>
          <w:p w14:paraId="54C19132" w14:textId="77777777" w:rsidR="00744260" w:rsidRPr="00744260" w:rsidRDefault="00744260" w:rsidP="00744260">
            <w:pPr>
              <w:ind w:firstLine="0"/>
              <w:jc w:val="left"/>
              <w:rPr>
                <w:sz w:val="24"/>
                <w:szCs w:val="24"/>
                <w:lang w:val="ro-RO"/>
              </w:rPr>
            </w:pPr>
            <w:r>
              <w:rPr>
                <w:sz w:val="24"/>
                <w:szCs w:val="24"/>
                <w:lang w:val="ro-RO"/>
              </w:rPr>
              <w:t>M</w:t>
            </w:r>
            <w:r w:rsidRPr="00744260">
              <w:rPr>
                <w:sz w:val="24"/>
                <w:szCs w:val="24"/>
                <w:lang w:val="ro-RO"/>
              </w:rPr>
              <w:t>inisterul Mediului, Agenția de implementare a proiectelor de mediu din cadrul Ministerului Mediului din Republica Lituania şi Asociaţia EcoContact au desfășurat seminarul privind dezvoltarea și aplicarea sistemului de depozit pentru ambalaje</w:t>
            </w:r>
            <w:r>
              <w:rPr>
                <w:sz w:val="24"/>
                <w:szCs w:val="24"/>
                <w:lang w:val="ro-RO"/>
              </w:rPr>
              <w:t xml:space="preserve"> pe data de 20.20.2022</w:t>
            </w:r>
            <w:r w:rsidRPr="00744260">
              <w:rPr>
                <w:sz w:val="24"/>
                <w:szCs w:val="24"/>
                <w:lang w:val="ro-RO"/>
              </w:rPr>
              <w:t>. În cadrul discuțiilor, au fost abordate aspecte ce țin de reglementările legislative în vederea aplicării sistemului depozit pentru ambalaje, precum și de funcționarea sistemului colectiv al producătorilor de ambalaje, în conformitate cu responsabilitatea extinsă a producătorului.</w:t>
            </w:r>
          </w:p>
          <w:p w14:paraId="20EC1FFB" w14:textId="77777777" w:rsidR="00744260" w:rsidRDefault="00000000" w:rsidP="00744260">
            <w:pPr>
              <w:ind w:firstLine="0"/>
              <w:jc w:val="left"/>
              <w:rPr>
                <w:rStyle w:val="a4"/>
                <w:sz w:val="24"/>
                <w:lang w:val="ro-RO"/>
              </w:rPr>
            </w:pPr>
            <w:hyperlink r:id="rId31" w:history="1">
              <w:r w:rsidR="00744260" w:rsidRPr="00744260">
                <w:rPr>
                  <w:rStyle w:val="a4"/>
                  <w:sz w:val="24"/>
                  <w:lang w:val="ro-RO"/>
                </w:rPr>
                <w:t>http://mediu.gov.md/ro/content/4034</w:t>
              </w:r>
            </w:hyperlink>
          </w:p>
          <w:p w14:paraId="1D939A7B" w14:textId="77777777" w:rsidR="00744260" w:rsidRPr="00744260" w:rsidRDefault="00744260" w:rsidP="00744260">
            <w:pPr>
              <w:ind w:firstLine="0"/>
              <w:jc w:val="left"/>
              <w:rPr>
                <w:rStyle w:val="a4"/>
                <w:sz w:val="32"/>
                <w:szCs w:val="24"/>
                <w:lang w:val="ro-RO"/>
              </w:rPr>
            </w:pPr>
          </w:p>
          <w:p w14:paraId="429A204C" w14:textId="34DC3A78" w:rsidR="00FD4420" w:rsidRDefault="00744260" w:rsidP="00ED1AC0">
            <w:pPr>
              <w:ind w:firstLine="0"/>
              <w:jc w:val="left"/>
              <w:rPr>
                <w:sz w:val="24"/>
                <w:szCs w:val="24"/>
                <w:lang w:val="ro-RO"/>
              </w:rPr>
            </w:pPr>
            <w:r>
              <w:rPr>
                <w:sz w:val="24"/>
                <w:szCs w:val="24"/>
                <w:lang w:val="ro-RO"/>
              </w:rPr>
              <w:t>C</w:t>
            </w:r>
            <w:r w:rsidRPr="00744260">
              <w:rPr>
                <w:sz w:val="24"/>
                <w:szCs w:val="24"/>
                <w:lang w:val="ro-RO"/>
              </w:rPr>
              <w:t xml:space="preserve">onsultări publice asupra proiectului Hotărârii Guvernului pentru aprobarea Proiectului de modificarea a Legii </w:t>
            </w:r>
            <w:r>
              <w:rPr>
                <w:sz w:val="24"/>
                <w:szCs w:val="24"/>
                <w:lang w:val="ro-RO"/>
              </w:rPr>
              <w:t xml:space="preserve">nr. 209/2016 privind deșeurile a avut </w:t>
            </w:r>
            <w:r w:rsidRPr="00744260">
              <w:rPr>
                <w:sz w:val="24"/>
                <w:szCs w:val="24"/>
                <w:lang w:val="ro-RO"/>
              </w:rPr>
              <w:t xml:space="preserve">loc pe 21 februarie </w:t>
            </w:r>
            <w:r>
              <w:rPr>
                <w:sz w:val="24"/>
                <w:szCs w:val="24"/>
                <w:lang w:val="ro-RO"/>
              </w:rPr>
              <w:t>2023</w:t>
            </w:r>
            <w:r w:rsidRPr="00744260">
              <w:rPr>
                <w:sz w:val="24"/>
                <w:szCs w:val="24"/>
                <w:lang w:val="ro-RO"/>
              </w:rPr>
              <w:t>. În cadrul consultărilor publice pe marginea modificărilor la Legea privind deșeurile</w:t>
            </w:r>
            <w:r w:rsidR="008C76D0">
              <w:rPr>
                <w:sz w:val="24"/>
                <w:szCs w:val="24"/>
                <w:lang w:val="ro-RO"/>
              </w:rPr>
              <w:t xml:space="preserve">, inclusiv a includerii sistemului de </w:t>
            </w:r>
            <w:r w:rsidRPr="00744260">
              <w:rPr>
                <w:sz w:val="24"/>
                <w:szCs w:val="24"/>
                <w:lang w:val="ro-RO"/>
              </w:rPr>
              <w:t xml:space="preserve"> </w:t>
            </w:r>
            <w:r w:rsidR="008C76D0">
              <w:rPr>
                <w:sz w:val="24"/>
                <w:szCs w:val="24"/>
                <w:lang w:val="ro-RO"/>
              </w:rPr>
              <w:t xml:space="preserve">depozit pentru ambalaje, </w:t>
            </w:r>
            <w:r>
              <w:rPr>
                <w:sz w:val="24"/>
                <w:szCs w:val="24"/>
                <w:lang w:val="ro-RO"/>
              </w:rPr>
              <w:t>a fost abordată</w:t>
            </w:r>
            <w:r w:rsidRPr="00744260">
              <w:rPr>
                <w:sz w:val="24"/>
                <w:szCs w:val="24"/>
                <w:lang w:val="ro-RO"/>
              </w:rPr>
              <w:t xml:space="preserve"> </w:t>
            </w:r>
            <w:r>
              <w:rPr>
                <w:sz w:val="24"/>
                <w:szCs w:val="24"/>
                <w:lang w:val="ro-RO"/>
              </w:rPr>
              <w:t>Analiza</w:t>
            </w:r>
            <w:r w:rsidRPr="00744260">
              <w:rPr>
                <w:sz w:val="24"/>
                <w:szCs w:val="24"/>
                <w:lang w:val="ro-RO"/>
              </w:rPr>
              <w:t xml:space="preserve"> Impactului.</w:t>
            </w:r>
          </w:p>
          <w:p w14:paraId="2DD5E59E" w14:textId="77777777" w:rsidR="00744260" w:rsidRDefault="00000000" w:rsidP="00ED1AC0">
            <w:pPr>
              <w:ind w:firstLine="0"/>
              <w:jc w:val="left"/>
              <w:rPr>
                <w:sz w:val="24"/>
                <w:szCs w:val="24"/>
                <w:lang w:val="ro-RO"/>
              </w:rPr>
            </w:pPr>
            <w:hyperlink r:id="rId32" w:history="1">
              <w:r w:rsidR="00744260" w:rsidRPr="009B56DC">
                <w:rPr>
                  <w:rStyle w:val="a4"/>
                  <w:sz w:val="24"/>
                  <w:szCs w:val="24"/>
                  <w:lang w:val="ro-RO"/>
                </w:rPr>
                <w:t>https://www.mediu.gov.md/ro/content/4187</w:t>
              </w:r>
            </w:hyperlink>
            <w:r w:rsidR="00744260">
              <w:rPr>
                <w:sz w:val="24"/>
                <w:szCs w:val="24"/>
                <w:lang w:val="ro-RO"/>
              </w:rPr>
              <w:t xml:space="preserve"> </w:t>
            </w:r>
          </w:p>
          <w:p w14:paraId="01D6A85B" w14:textId="77777777" w:rsidR="00744260" w:rsidRDefault="00744260" w:rsidP="00ED1AC0">
            <w:pPr>
              <w:ind w:firstLine="0"/>
              <w:jc w:val="left"/>
              <w:rPr>
                <w:sz w:val="24"/>
                <w:szCs w:val="24"/>
                <w:lang w:val="ro-RO"/>
              </w:rPr>
            </w:pPr>
          </w:p>
          <w:p w14:paraId="23056940" w14:textId="77777777" w:rsidR="008C76D0" w:rsidRPr="008C76D0" w:rsidRDefault="008C76D0" w:rsidP="008C76D0">
            <w:pPr>
              <w:ind w:firstLine="0"/>
              <w:jc w:val="left"/>
              <w:rPr>
                <w:sz w:val="24"/>
                <w:szCs w:val="24"/>
                <w:lang w:val="ro-RO"/>
              </w:rPr>
            </w:pPr>
            <w:r>
              <w:rPr>
                <w:sz w:val="24"/>
                <w:szCs w:val="24"/>
                <w:lang w:val="ro-RO"/>
              </w:rPr>
              <w:t>Pe 5 aprilie, 2023 a avut loc o</w:t>
            </w:r>
            <w:r w:rsidRPr="008C76D0">
              <w:rPr>
                <w:sz w:val="24"/>
                <w:szCs w:val="24"/>
                <w:lang w:val="ro-RO"/>
              </w:rPr>
              <w:t xml:space="preserve"> întrevedere cu rep</w:t>
            </w:r>
            <w:r>
              <w:rPr>
                <w:sz w:val="24"/>
                <w:szCs w:val="24"/>
                <w:lang w:val="ro-RO"/>
              </w:rPr>
              <w:t xml:space="preserve">rezentanții mediului de afaceri, unde </w:t>
            </w:r>
            <w:r w:rsidRPr="008C76D0">
              <w:rPr>
                <w:sz w:val="24"/>
                <w:szCs w:val="24"/>
                <w:lang w:val="ro-RO"/>
              </w:rPr>
              <w:t xml:space="preserve">au fost discutate aspecte ce țin de autorizare, obligațiile în cadrul sistemului REP și noile prevederi vizavi de sistemul de depozit stabilit pentru ambalaje, care se propun în Legea privind deșeurile. </w:t>
            </w:r>
          </w:p>
          <w:p w14:paraId="21A38CF4" w14:textId="77777777" w:rsidR="008C76D0" w:rsidRPr="008C76D0" w:rsidRDefault="00000000" w:rsidP="008C76D0">
            <w:pPr>
              <w:ind w:firstLine="0"/>
              <w:jc w:val="left"/>
              <w:rPr>
                <w:sz w:val="24"/>
                <w:szCs w:val="24"/>
                <w:lang w:val="ro-RO"/>
              </w:rPr>
            </w:pPr>
            <w:hyperlink r:id="rId33" w:history="1">
              <w:r w:rsidR="008C76D0" w:rsidRPr="009B56DC">
                <w:rPr>
                  <w:rStyle w:val="a4"/>
                  <w:sz w:val="24"/>
                  <w:szCs w:val="24"/>
                  <w:lang w:val="ro-RO"/>
                </w:rPr>
                <w:t>https://mediu.gov.md/ro/content/4254</w:t>
              </w:r>
            </w:hyperlink>
            <w:r w:rsidR="008C76D0">
              <w:rPr>
                <w:sz w:val="24"/>
                <w:szCs w:val="24"/>
                <w:lang w:val="ro-RO"/>
              </w:rPr>
              <w:t xml:space="preserve"> </w:t>
            </w:r>
          </w:p>
          <w:p w14:paraId="1A6328D0" w14:textId="77777777" w:rsidR="008C76D0" w:rsidRPr="008C76D0" w:rsidRDefault="008C76D0" w:rsidP="008C76D0">
            <w:pPr>
              <w:ind w:firstLine="0"/>
              <w:jc w:val="left"/>
              <w:rPr>
                <w:sz w:val="24"/>
                <w:szCs w:val="24"/>
                <w:lang w:val="ro-RO"/>
              </w:rPr>
            </w:pPr>
            <w:r w:rsidRPr="008C76D0">
              <w:rPr>
                <w:sz w:val="24"/>
                <w:szCs w:val="24"/>
                <w:lang w:val="ro-RO"/>
              </w:rPr>
              <w:t xml:space="preserve"> </w:t>
            </w:r>
          </w:p>
          <w:p w14:paraId="69216191" w14:textId="77777777" w:rsidR="008C76D0" w:rsidRDefault="008C76D0" w:rsidP="008C76D0">
            <w:pPr>
              <w:ind w:firstLine="0"/>
              <w:jc w:val="left"/>
              <w:rPr>
                <w:sz w:val="24"/>
                <w:szCs w:val="24"/>
                <w:lang w:val="ro-RO"/>
              </w:rPr>
            </w:pPr>
            <w:r w:rsidRPr="008C76D0">
              <w:rPr>
                <w:sz w:val="24"/>
                <w:szCs w:val="24"/>
                <w:lang w:val="ro-RO"/>
              </w:rPr>
              <w:t>Pe 20 iulie, 2023 a avut loc ședința de lucru privind stabilirea sistemului depozit de gestionare a ambalajelor și deșeurilor de ambalaje, organizată de către  Ministerul Mediului în parteneriat cu AO Asociația Experților Pro-Mediu în cadrul proiectului „Crearea capacităților pentru stabilirea sistemului depozit pentru ambalaje”, implementat cu suportul Agenției pentru gestionarea proiectelor de mediu din  Lituania.</w:t>
            </w:r>
            <w:r>
              <w:rPr>
                <w:sz w:val="24"/>
                <w:szCs w:val="24"/>
                <w:lang w:val="ro-RO"/>
              </w:rPr>
              <w:t xml:space="preserve"> La ședință au participat circa 20 de reprezentanși ai mediului de afaceri vizat.</w:t>
            </w:r>
          </w:p>
          <w:p w14:paraId="40A8E5BF" w14:textId="77777777" w:rsidR="008C76D0" w:rsidRPr="008C76D0" w:rsidRDefault="00000000" w:rsidP="008C76D0">
            <w:pPr>
              <w:ind w:firstLine="0"/>
              <w:jc w:val="left"/>
              <w:rPr>
                <w:sz w:val="24"/>
                <w:szCs w:val="24"/>
                <w:lang w:val="ro-RO"/>
              </w:rPr>
            </w:pPr>
            <w:hyperlink r:id="rId34" w:history="1">
              <w:r w:rsidR="008C76D0" w:rsidRPr="009B56DC">
                <w:rPr>
                  <w:rStyle w:val="a4"/>
                  <w:sz w:val="24"/>
                  <w:szCs w:val="24"/>
                  <w:lang w:val="ro-RO"/>
                </w:rPr>
                <w:t>https://mediu.gov.md/ro/content/4373</w:t>
              </w:r>
            </w:hyperlink>
            <w:r w:rsidR="008C76D0">
              <w:rPr>
                <w:sz w:val="24"/>
                <w:szCs w:val="24"/>
                <w:lang w:val="ro-RO"/>
              </w:rPr>
              <w:t xml:space="preserve"> </w:t>
            </w:r>
          </w:p>
          <w:p w14:paraId="2A82A3B5" w14:textId="77777777" w:rsidR="008C76D0" w:rsidRDefault="008C76D0" w:rsidP="00ED1AC0">
            <w:pPr>
              <w:ind w:firstLine="0"/>
              <w:jc w:val="left"/>
              <w:rPr>
                <w:sz w:val="24"/>
                <w:szCs w:val="24"/>
                <w:lang w:val="ro-RO"/>
              </w:rPr>
            </w:pPr>
          </w:p>
          <w:p w14:paraId="70CF2FFE" w14:textId="77777777" w:rsidR="00457A8E" w:rsidRPr="00BA709E" w:rsidRDefault="00ED1AC0" w:rsidP="00ED1AC0">
            <w:pPr>
              <w:ind w:firstLine="0"/>
              <w:jc w:val="left"/>
              <w:rPr>
                <w:sz w:val="24"/>
                <w:szCs w:val="24"/>
                <w:lang w:val="ro-RO"/>
              </w:rPr>
            </w:pPr>
            <w:r w:rsidRPr="00BA709E">
              <w:rPr>
                <w:sz w:val="24"/>
                <w:szCs w:val="24"/>
                <w:lang w:val="ro-RO"/>
              </w:rPr>
              <w:t>De asemenea, pentru a asigura transparența în procesul decizional, AIR și proiectul</w:t>
            </w:r>
            <w:r w:rsidRPr="00BA709E">
              <w:rPr>
                <w:lang w:val="ro-RO"/>
              </w:rPr>
              <w:t xml:space="preserve"> </w:t>
            </w:r>
            <w:r w:rsidRPr="00BA709E">
              <w:rPr>
                <w:sz w:val="24"/>
                <w:szCs w:val="24"/>
                <w:lang w:val="ro-RO"/>
              </w:rPr>
              <w:t xml:space="preserve">Hotărârii de Guvern va fi plasat pe pagina-web www.particip.gov.md) pentru a fi accesibil publicului larg, pentru consultare publică, prezentarea de propuneri și obiecții. </w:t>
            </w:r>
          </w:p>
        </w:tc>
      </w:tr>
      <w:tr w:rsidR="008103CD" w:rsidRPr="00BA709E" w14:paraId="5C8E3B9F" w14:textId="77777777" w:rsidTr="0005353F">
        <w:trPr>
          <w:jc w:val="center"/>
        </w:trPr>
        <w:tc>
          <w:tcPr>
            <w:tcW w:w="4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969D3E" w14:textId="77777777" w:rsidR="00457A8E" w:rsidRPr="00BA709E" w:rsidRDefault="00457A8E" w:rsidP="00250584">
            <w:pPr>
              <w:ind w:firstLine="0"/>
              <w:jc w:val="left"/>
              <w:rPr>
                <w:sz w:val="24"/>
                <w:szCs w:val="24"/>
                <w:lang w:val="ro-RO"/>
              </w:rPr>
            </w:pPr>
            <w:r w:rsidRPr="00BA709E">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3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1B2CAF" w14:textId="77777777" w:rsidR="00457A8E" w:rsidRPr="00BA709E" w:rsidRDefault="00457A8E" w:rsidP="00250584">
            <w:pPr>
              <w:ind w:firstLine="0"/>
              <w:jc w:val="left"/>
              <w:rPr>
                <w:sz w:val="24"/>
                <w:szCs w:val="24"/>
                <w:lang w:val="ro-RO"/>
              </w:rPr>
            </w:pPr>
          </w:p>
        </w:tc>
      </w:tr>
      <w:tr w:rsidR="00457A8E" w:rsidRPr="00BA709E" w14:paraId="55839A31" w14:textId="77777777" w:rsidTr="003F63CA">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921AF4" w14:textId="77777777" w:rsidR="00457A8E" w:rsidRPr="00BA709E" w:rsidRDefault="00457A8E" w:rsidP="00250584">
            <w:pPr>
              <w:ind w:firstLine="0"/>
              <w:jc w:val="left"/>
              <w:rPr>
                <w:bCs/>
                <w:sz w:val="24"/>
                <w:szCs w:val="24"/>
                <w:lang w:val="ro-RO"/>
              </w:rPr>
            </w:pPr>
          </w:p>
          <w:p w14:paraId="1B20D477" w14:textId="77777777" w:rsidR="00457A8E" w:rsidRPr="00BA709E" w:rsidRDefault="008C76D0" w:rsidP="00ED1AC0">
            <w:pPr>
              <w:ind w:firstLine="0"/>
              <w:jc w:val="left"/>
              <w:rPr>
                <w:sz w:val="24"/>
                <w:szCs w:val="24"/>
                <w:lang w:val="ro-RO"/>
              </w:rPr>
            </w:pPr>
            <w:r>
              <w:rPr>
                <w:sz w:val="24"/>
                <w:szCs w:val="24"/>
                <w:lang w:val="ro-RO"/>
              </w:rPr>
              <w:t>Urmează a fi completat.</w:t>
            </w:r>
          </w:p>
        </w:tc>
      </w:tr>
      <w:tr w:rsidR="00ED1AC0" w:rsidRPr="00BA709E" w14:paraId="6C745EBE" w14:textId="77777777" w:rsidTr="003F63CA">
        <w:trPr>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4BF3626" w14:textId="77777777" w:rsidR="003F63CA" w:rsidRDefault="003F63CA" w:rsidP="00ED1AC0">
            <w:pPr>
              <w:ind w:firstLine="0"/>
              <w:rPr>
                <w:bCs/>
                <w:i/>
                <w:iCs/>
                <w:sz w:val="24"/>
                <w:szCs w:val="24"/>
                <w:lang w:val="ro-RO"/>
              </w:rPr>
            </w:pPr>
          </w:p>
          <w:tbl>
            <w:tblPr>
              <w:tblW w:w="9008" w:type="dxa"/>
              <w:jc w:val="center"/>
              <w:shd w:val="clear" w:color="auto" w:fill="FFFFFF" w:themeFill="background1"/>
              <w:tblCellMar>
                <w:left w:w="115" w:type="dxa"/>
                <w:right w:w="115" w:type="dxa"/>
              </w:tblCellMar>
              <w:tblLook w:val="0400" w:firstRow="0" w:lastRow="0" w:firstColumn="0" w:lastColumn="0" w:noHBand="0" w:noVBand="1"/>
            </w:tblPr>
            <w:tblGrid>
              <w:gridCol w:w="5224"/>
              <w:gridCol w:w="1701"/>
              <w:gridCol w:w="2083"/>
            </w:tblGrid>
            <w:tr w:rsidR="003F63CA" w:rsidRPr="007E5A65" w14:paraId="708E6FE2" w14:textId="77777777" w:rsidTr="0005353F">
              <w:trPr>
                <w:trHeight w:val="230"/>
                <w:jc w:val="center"/>
              </w:trPr>
              <w:tc>
                <w:tcPr>
                  <w:tcW w:w="9008" w:type="dxa"/>
                  <w:gridSpan w:val="3"/>
                  <w:tcBorders>
                    <w:top w:val="single" w:sz="4"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68D1C4F" w14:textId="77777777" w:rsidR="003F63CA" w:rsidRPr="007E5A65" w:rsidRDefault="003F63CA" w:rsidP="003F63CA">
                  <w:pPr>
                    <w:shd w:val="clear" w:color="auto" w:fill="FFFFFF" w:themeFill="background1"/>
                    <w:ind w:firstLine="0"/>
                    <w:jc w:val="right"/>
                    <w:rPr>
                      <w:b/>
                      <w:color w:val="000000" w:themeColor="text1"/>
                      <w:sz w:val="24"/>
                      <w:szCs w:val="24"/>
                      <w:lang w:val="ro-MD"/>
                    </w:rPr>
                  </w:pPr>
                  <w:r w:rsidRPr="007E5A65">
                    <w:rPr>
                      <w:b/>
                      <w:color w:val="000000" w:themeColor="text1"/>
                      <w:sz w:val="24"/>
                      <w:szCs w:val="24"/>
                      <w:lang w:val="ro-MD"/>
                    </w:rPr>
                    <w:t>Anexă</w:t>
                  </w:r>
                </w:p>
                <w:p w14:paraId="0E83C7A3" w14:textId="77777777" w:rsidR="003F63CA" w:rsidRPr="007E5A65" w:rsidRDefault="003F63CA" w:rsidP="003F63CA">
                  <w:pPr>
                    <w:shd w:val="clear" w:color="auto" w:fill="FFFFFF" w:themeFill="background1"/>
                    <w:ind w:firstLine="0"/>
                    <w:jc w:val="center"/>
                    <w:rPr>
                      <w:b/>
                      <w:color w:val="000000" w:themeColor="text1"/>
                      <w:sz w:val="24"/>
                      <w:szCs w:val="24"/>
                      <w:lang w:val="ro-MD"/>
                    </w:rPr>
                  </w:pPr>
                  <w:r w:rsidRPr="007E5A65">
                    <w:rPr>
                      <w:b/>
                      <w:bCs/>
                      <w:color w:val="000000" w:themeColor="text1"/>
                      <w:sz w:val="24"/>
                      <w:szCs w:val="24"/>
                      <w:lang w:val="ro-MD"/>
                    </w:rPr>
                    <w:t>Tabel pentru identificarea impacturilor</w:t>
                  </w:r>
                </w:p>
              </w:tc>
            </w:tr>
            <w:tr w:rsidR="003F63CA" w:rsidRPr="007E5A65" w14:paraId="14B1E928" w14:textId="77777777" w:rsidTr="0005353F">
              <w:trPr>
                <w:trHeight w:val="247"/>
                <w:jc w:val="center"/>
              </w:trPr>
              <w:tc>
                <w:tcPr>
                  <w:tcW w:w="5224" w:type="dxa"/>
                  <w:tcBorders>
                    <w:top w:val="single" w:sz="4"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3672FBC" w14:textId="77777777" w:rsidR="003F63CA" w:rsidRPr="007E5A65" w:rsidRDefault="003F63CA" w:rsidP="003F63CA">
                  <w:pPr>
                    <w:shd w:val="clear" w:color="auto" w:fill="FFFFFF" w:themeFill="background1"/>
                    <w:ind w:firstLine="0"/>
                    <w:jc w:val="center"/>
                    <w:rPr>
                      <w:b/>
                      <w:color w:val="000000" w:themeColor="text1"/>
                      <w:sz w:val="24"/>
                      <w:szCs w:val="24"/>
                      <w:lang w:val="ro-MD"/>
                    </w:rPr>
                  </w:pPr>
                  <w:r w:rsidRPr="007E5A65">
                    <w:rPr>
                      <w:b/>
                      <w:color w:val="000000" w:themeColor="text1"/>
                      <w:sz w:val="24"/>
                      <w:szCs w:val="24"/>
                      <w:lang w:val="ro-MD"/>
                    </w:rPr>
                    <w:lastRenderedPageBreak/>
                    <w:t>Categorii de impact</w:t>
                  </w:r>
                </w:p>
              </w:tc>
              <w:tc>
                <w:tcPr>
                  <w:tcW w:w="3784" w:type="dxa"/>
                  <w:gridSpan w:val="2"/>
                  <w:tcBorders>
                    <w:top w:val="single" w:sz="4" w:space="0" w:color="000000"/>
                    <w:left w:val="single" w:sz="6" w:space="0" w:color="000000"/>
                    <w:bottom w:val="single" w:sz="6" w:space="0" w:color="000000"/>
                    <w:right w:val="single" w:sz="6" w:space="0" w:color="000000"/>
                  </w:tcBorders>
                  <w:shd w:val="clear" w:color="auto" w:fill="FFFFFF" w:themeFill="background1"/>
                </w:tcPr>
                <w:p w14:paraId="489EF1E0" w14:textId="77777777" w:rsidR="003F63CA" w:rsidRPr="007E5A65" w:rsidRDefault="003F63CA" w:rsidP="003F63CA">
                  <w:pPr>
                    <w:shd w:val="clear" w:color="auto" w:fill="FFFFFF" w:themeFill="background1"/>
                    <w:ind w:firstLine="0"/>
                    <w:jc w:val="center"/>
                    <w:rPr>
                      <w:b/>
                      <w:color w:val="000000" w:themeColor="text1"/>
                      <w:sz w:val="24"/>
                      <w:szCs w:val="24"/>
                      <w:lang w:val="ro-MD"/>
                    </w:rPr>
                  </w:pPr>
                  <w:r w:rsidRPr="007E5A65">
                    <w:rPr>
                      <w:b/>
                      <w:color w:val="000000" w:themeColor="text1"/>
                      <w:sz w:val="24"/>
                      <w:szCs w:val="24"/>
                      <w:lang w:val="ro-MD"/>
                    </w:rPr>
                    <w:t>Punctaj atribuit</w:t>
                  </w:r>
                </w:p>
              </w:tc>
            </w:tr>
            <w:tr w:rsidR="003F63CA" w:rsidRPr="007E5A65" w14:paraId="7353BD5F" w14:textId="77777777" w:rsidTr="0005353F">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84A61A7" w14:textId="77777777" w:rsidR="003F63CA" w:rsidRPr="007E5A65" w:rsidRDefault="003F63CA" w:rsidP="003F63CA">
                  <w:pPr>
                    <w:shd w:val="clear" w:color="auto" w:fill="FFFFFF" w:themeFill="background1"/>
                    <w:ind w:firstLine="0"/>
                    <w:jc w:val="left"/>
                    <w:rPr>
                      <w:i/>
                      <w:color w:val="000000" w:themeColor="text1"/>
                      <w:sz w:val="24"/>
                      <w:szCs w:val="24"/>
                      <w:lang w:val="ro-MD"/>
                    </w:rPr>
                  </w:pP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890E709" w14:textId="77777777" w:rsidR="003F63CA" w:rsidRPr="007E5A65" w:rsidRDefault="003F63CA" w:rsidP="003F63CA">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Opțiunea</w:t>
                  </w:r>
                </w:p>
                <w:p w14:paraId="59FC13EB" w14:textId="77777777" w:rsidR="003F63CA" w:rsidRDefault="003F63CA" w:rsidP="003F63CA">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 xml:space="preserve">Propusă </w:t>
                  </w:r>
                  <w:r>
                    <w:rPr>
                      <w:i/>
                      <w:color w:val="000000" w:themeColor="text1"/>
                      <w:sz w:val="24"/>
                      <w:szCs w:val="24"/>
                      <w:lang w:val="ro-MD"/>
                    </w:rPr>
                    <w:t xml:space="preserve"> 0</w:t>
                  </w:r>
                </w:p>
                <w:p w14:paraId="3694FB6F" w14:textId="77777777" w:rsidR="003F63CA" w:rsidRPr="007E5A65" w:rsidRDefault="003F63CA" w:rsidP="003F63CA">
                  <w:pPr>
                    <w:shd w:val="clear" w:color="auto" w:fill="FFFFFF" w:themeFill="background1"/>
                    <w:ind w:firstLine="0"/>
                    <w:jc w:val="center"/>
                    <w:rPr>
                      <w:i/>
                      <w:color w:val="000000" w:themeColor="text1"/>
                      <w:sz w:val="24"/>
                      <w:szCs w:val="24"/>
                      <w:lang w:val="ro-MD"/>
                    </w:rPr>
                  </w:pPr>
                  <w:r w:rsidRPr="003F63CA">
                    <w:rPr>
                      <w:i/>
                      <w:color w:val="000000" w:themeColor="text1"/>
                      <w:sz w:val="22"/>
                      <w:szCs w:val="24"/>
                      <w:lang w:val="ro-MD"/>
                    </w:rPr>
                    <w:t>lipsa intervenției</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C7E9BBB" w14:textId="77777777" w:rsidR="003F63CA" w:rsidRPr="007E5A65" w:rsidRDefault="003F63CA" w:rsidP="003F63CA">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 xml:space="preserve">Opțiunea </w:t>
                  </w:r>
                </w:p>
                <w:p w14:paraId="70291691" w14:textId="77777777" w:rsidR="003F63CA" w:rsidRPr="007E5A65" w:rsidRDefault="003F63CA" w:rsidP="003F63CA">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Propusă I</w:t>
                  </w:r>
                </w:p>
              </w:tc>
            </w:tr>
            <w:tr w:rsidR="003F63CA" w:rsidRPr="007E5A65" w14:paraId="5F7183EB" w14:textId="77777777" w:rsidTr="0005353F">
              <w:trPr>
                <w:trHeight w:val="223"/>
                <w:jc w:val="center"/>
              </w:trPr>
              <w:tc>
                <w:tcPr>
                  <w:tcW w:w="9008" w:type="dxa"/>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E94D9B9" w14:textId="77777777" w:rsidR="003F63CA" w:rsidRPr="007E5A65" w:rsidRDefault="003F63CA" w:rsidP="003F63CA">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Economic</w:t>
                  </w:r>
                </w:p>
              </w:tc>
            </w:tr>
            <w:tr w:rsidR="003F63CA" w:rsidRPr="007E5A65" w14:paraId="794C59F6" w14:textId="77777777" w:rsidTr="0005353F">
              <w:trPr>
                <w:trHeight w:val="20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0DEB600"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costurile desfășurării afacerilor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AF8D97F"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7BC992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3F63CA" w:rsidRPr="007E5A65" w14:paraId="64A7630A" w14:textId="77777777" w:rsidTr="0005353F">
              <w:trPr>
                <w:trHeight w:val="21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12428AF"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povara administrativă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3396DDB"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D3851D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2</w:t>
                  </w:r>
                </w:p>
              </w:tc>
            </w:tr>
            <w:tr w:rsidR="003F63CA" w:rsidRPr="007E5A65" w14:paraId="05A3AF26" w14:textId="77777777" w:rsidTr="0005353F">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48F659B"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fluxurile comerciale și investiționale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C399F2A"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99BB60C"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2</w:t>
                  </w:r>
                </w:p>
              </w:tc>
            </w:tr>
            <w:tr w:rsidR="003F63CA" w:rsidRPr="007E5A65" w14:paraId="404B9AA6" w14:textId="77777777" w:rsidTr="0005353F">
              <w:trPr>
                <w:trHeight w:val="22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82EE89"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competitivitatea afacerilor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10604A5"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EECDF9E"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3</w:t>
                  </w:r>
                </w:p>
              </w:tc>
            </w:tr>
            <w:tr w:rsidR="003F63CA" w:rsidRPr="007E5A65" w14:paraId="44F2E255" w14:textId="77777777" w:rsidTr="0005353F">
              <w:trPr>
                <w:trHeight w:val="130"/>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78A6FA"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activitatea diferitor categorii de întreprinderi mici și mijlocii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2AA820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24B7C7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2</w:t>
                  </w:r>
                </w:p>
              </w:tc>
            </w:tr>
            <w:tr w:rsidR="003F63CA" w:rsidRPr="007E5A65" w14:paraId="403C1BBF" w14:textId="77777777" w:rsidTr="0005353F">
              <w:trPr>
                <w:trHeight w:val="62"/>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4E1AF72"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concurența pe piață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11476B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91B1D34"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3F63CA" w:rsidRPr="007E5A65" w14:paraId="2DF1F8CF" w14:textId="77777777" w:rsidTr="0005353F">
              <w:trPr>
                <w:trHeight w:val="70"/>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D014FA4"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activitatea de inovare și cercetare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6593DF1"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8AA0796"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51B12FC1"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6E2E5A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veniturile și cheltuielile publice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9912A4F"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110EF18"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3F63CA" w:rsidRPr="007E5A65" w14:paraId="7D95D110" w14:textId="77777777" w:rsidTr="0005353F">
              <w:trPr>
                <w:trHeight w:val="197"/>
                <w:jc w:val="center"/>
              </w:trPr>
              <w:tc>
                <w:tcPr>
                  <w:tcW w:w="5224" w:type="dxa"/>
                  <w:tcBorders>
                    <w:top w:val="nil"/>
                    <w:left w:val="single" w:sz="6" w:space="0" w:color="000000"/>
                    <w:bottom w:val="single" w:sz="4" w:space="0" w:color="000000"/>
                    <w:right w:val="single" w:sz="6" w:space="0" w:color="000000"/>
                  </w:tcBorders>
                  <w:shd w:val="clear" w:color="auto" w:fill="FFFFFF" w:themeFill="background1"/>
                  <w:tcMar>
                    <w:top w:w="15" w:type="dxa"/>
                    <w:left w:w="45" w:type="dxa"/>
                    <w:bottom w:w="15" w:type="dxa"/>
                    <w:right w:w="45" w:type="dxa"/>
                  </w:tcMar>
                </w:tcPr>
                <w:p w14:paraId="1581D642"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cadrul instituțional al autorităților publice</w:t>
                  </w:r>
                </w:p>
              </w:tc>
              <w:tc>
                <w:tcPr>
                  <w:tcW w:w="1701" w:type="dxa"/>
                  <w:tcBorders>
                    <w:top w:val="nil"/>
                    <w:left w:val="single" w:sz="6" w:space="0" w:color="000000"/>
                    <w:bottom w:val="single" w:sz="4" w:space="0" w:color="000000"/>
                    <w:right w:val="single" w:sz="6" w:space="0" w:color="000000"/>
                  </w:tcBorders>
                  <w:shd w:val="clear" w:color="auto" w:fill="FFFFFF" w:themeFill="background1"/>
                </w:tcPr>
                <w:p w14:paraId="31055EF8"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4" w:space="0" w:color="000000"/>
                    <w:right w:val="single" w:sz="6" w:space="0" w:color="000000"/>
                  </w:tcBorders>
                  <w:shd w:val="clear" w:color="auto" w:fill="FFFFFF" w:themeFill="background1"/>
                </w:tcPr>
                <w:p w14:paraId="36192464"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3F63CA" w:rsidRPr="007E5A65" w14:paraId="1D9F3DF4" w14:textId="77777777" w:rsidTr="0005353F">
              <w:trPr>
                <w:trHeight w:val="138"/>
                <w:jc w:val="center"/>
              </w:trPr>
              <w:tc>
                <w:tcPr>
                  <w:tcW w:w="52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45" w:type="dxa"/>
                    <w:bottom w:w="15" w:type="dxa"/>
                    <w:right w:w="45" w:type="dxa"/>
                  </w:tcMar>
                </w:tcPr>
                <w:p w14:paraId="7782509D" w14:textId="77777777" w:rsidR="003F63CA" w:rsidRPr="007E5A65" w:rsidRDefault="003F63CA" w:rsidP="003F63CA">
                  <w:pPr>
                    <w:shd w:val="clear" w:color="auto" w:fill="FFFFFF" w:themeFill="background1"/>
                    <w:ind w:firstLine="0"/>
                    <w:rPr>
                      <w:color w:val="000000" w:themeColor="text1"/>
                      <w:sz w:val="24"/>
                      <w:szCs w:val="24"/>
                      <w:lang w:val="ro-MD"/>
                    </w:rPr>
                  </w:pPr>
                  <w:r w:rsidRPr="007E5A65">
                    <w:rPr>
                      <w:color w:val="000000" w:themeColor="text1"/>
                      <w:sz w:val="24"/>
                      <w:szCs w:val="24"/>
                      <w:lang w:val="ro-MD"/>
                    </w:rPr>
                    <w:t>alegerea, calitatea și prețurile pentru consumatori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5B9656"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A35276"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66C4A9C1" w14:textId="77777777" w:rsidTr="0005353F">
              <w:trPr>
                <w:trHeight w:val="49"/>
                <w:jc w:val="center"/>
              </w:trPr>
              <w:tc>
                <w:tcPr>
                  <w:tcW w:w="5224" w:type="dxa"/>
                  <w:tcBorders>
                    <w:top w:val="single" w:sz="4"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1187F41"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bunăstarea gospodăriilor casnice și a cetățenilor</w:t>
                  </w:r>
                </w:p>
              </w:tc>
              <w:tc>
                <w:tcPr>
                  <w:tcW w:w="1701"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23D68A4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788378F8"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3</w:t>
                  </w:r>
                </w:p>
              </w:tc>
            </w:tr>
            <w:tr w:rsidR="003F63CA" w:rsidRPr="007E5A65" w14:paraId="07862581" w14:textId="77777777" w:rsidTr="0005353F">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B149AD"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situația social-economică în anumite regiuni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9642F4A"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37701A1"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3</w:t>
                  </w:r>
                </w:p>
              </w:tc>
            </w:tr>
            <w:tr w:rsidR="003F63CA" w:rsidRPr="007E5A65" w14:paraId="0ED4F1E6" w14:textId="77777777" w:rsidTr="0005353F">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0597931"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situația macroeconomică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38B108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906396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2</w:t>
                  </w:r>
                </w:p>
              </w:tc>
            </w:tr>
            <w:tr w:rsidR="003F63CA" w:rsidRPr="007E5A65" w14:paraId="4219A0B2" w14:textId="77777777" w:rsidTr="0005353F">
              <w:trPr>
                <w:trHeight w:val="22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50B0FD"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alte aspecte economice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4A2A8BD"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F30117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091FA336" w14:textId="77777777" w:rsidTr="0005353F">
              <w:trPr>
                <w:trHeight w:val="49"/>
                <w:jc w:val="center"/>
              </w:trPr>
              <w:tc>
                <w:tcPr>
                  <w:tcW w:w="9008" w:type="dxa"/>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36B08B" w14:textId="77777777" w:rsidR="003F63CA" w:rsidRPr="007E5A65" w:rsidRDefault="003F63CA" w:rsidP="003F63CA">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Social</w:t>
                  </w:r>
                </w:p>
              </w:tc>
            </w:tr>
            <w:tr w:rsidR="003F63CA" w:rsidRPr="007E5A65" w14:paraId="006FDBE6" w14:textId="77777777" w:rsidTr="0005353F">
              <w:trPr>
                <w:trHeight w:val="14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DC4F283"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gradul de ocupare a forței de muncă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7983F4B"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6C0E076"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7FBA0D94"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E53AF8A"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de salarizare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B8228AF"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B5FA7ED"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71C25383"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A7E8D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condițiile și organizarea muncii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79C668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61654DD"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3F63CA" w:rsidRPr="007E5A65" w14:paraId="4B848AFA"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70AAF64"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sănătatea și securitatea muncii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FF77141"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2C0DA53"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11C8FCDE" w14:textId="77777777" w:rsidTr="0005353F">
              <w:trPr>
                <w:trHeight w:val="9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6D47715"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formarea profesională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FE9277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E9AC01C"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1E28E6F0" w14:textId="77777777" w:rsidTr="0005353F">
              <w:trPr>
                <w:trHeight w:val="197"/>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6998C84"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inegalitatea și distribuția veniturilor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BB082D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D973DC1"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2B298B6C" w14:textId="77777777" w:rsidTr="0005353F">
              <w:trPr>
                <w:trHeight w:val="197"/>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30462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veniturilor populației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1000C2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9DF00AB"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5F6C9F40" w14:textId="77777777" w:rsidTr="0005353F">
              <w:trPr>
                <w:trHeight w:val="12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D665E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sărăciei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3104D8D"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37BCCCD"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746BE317" w14:textId="77777777" w:rsidTr="0005353F">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52655BB"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la bunuri și servicii de bază, în special pentru persoanele social-vulnerabile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AB3CDF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EF126D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5123D6C4"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9F3D32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diversitatea culturală și lingvistică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9F86B4A"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A38D3D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53367F21"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6F2FA1D"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partidele politice și organizațiile civice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2720D5E"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C77990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14206807" w14:textId="77777777" w:rsidTr="0005353F">
              <w:trPr>
                <w:trHeight w:val="11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B7E9CE"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sănătatea publică, inclusiv mortalitatea și morbiditatea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691755A"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54FDEB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3</w:t>
                  </w:r>
                </w:p>
              </w:tc>
            </w:tr>
            <w:tr w:rsidR="003F63CA" w:rsidRPr="007E5A65" w14:paraId="0F9ED244"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A43A21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modul sănătos de viață al populației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FAE4C7B"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CB8FBBF"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3</w:t>
                  </w:r>
                </w:p>
              </w:tc>
            </w:tr>
            <w:tr w:rsidR="003F63CA" w:rsidRPr="007E5A65" w14:paraId="5142F20E" w14:textId="77777777" w:rsidTr="0005353F">
              <w:trPr>
                <w:trHeight w:val="21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AF52230"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criminalității și securității publice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92D8114"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1BD967C"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04811590" w14:textId="77777777" w:rsidTr="0005353F">
              <w:trPr>
                <w:trHeight w:val="5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04CE93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de protecție socială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19BAC8F"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C37D205"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1</w:t>
                  </w:r>
                </w:p>
              </w:tc>
            </w:tr>
            <w:tr w:rsidR="003F63CA" w:rsidRPr="007E5A65" w14:paraId="73E35ECE" w14:textId="77777777" w:rsidTr="0005353F">
              <w:trPr>
                <w:trHeight w:val="155"/>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724DFA5"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educaționale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CA4AED6"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4D3FED1"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1B9E7D32"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4B8FE9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medicale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80BED8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CA33112"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3ACFC079" w14:textId="77777777" w:rsidTr="0005353F">
              <w:trPr>
                <w:trHeight w:val="7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A35B22B"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publice administrative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900EEA4"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3CFED4E"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3F63CA" w:rsidRPr="007E5A65" w14:paraId="024892B8"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F17B474"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și calitatea educației populației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B729F74"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75C12C2"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0348CEFA" w14:textId="77777777" w:rsidTr="0005353F">
              <w:trPr>
                <w:trHeight w:val="10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314216"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conservarea patrimoniului cultural</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DC1040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0C4A709"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5A376F64" w14:textId="77777777" w:rsidTr="0005353F">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B3903F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populației la resurse culturale și participarea în manifestații culturale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55A0EF2"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AFC4032"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0</w:t>
                  </w:r>
                </w:p>
              </w:tc>
            </w:tr>
            <w:tr w:rsidR="003F63CA" w:rsidRPr="007E5A65" w14:paraId="35F7D485" w14:textId="77777777" w:rsidTr="0005353F">
              <w:trPr>
                <w:trHeight w:val="16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BB93622"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participarea populației în activități sportive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B5E71EC"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1452DB8"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75EF8E7F" w14:textId="77777777" w:rsidTr="0005353F">
              <w:trPr>
                <w:trHeight w:val="257"/>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FA0C2A3"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lastRenderedPageBreak/>
                    <w:t>discriminarea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557DCA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6B7D83E"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67073F40" w14:textId="77777777" w:rsidTr="0005353F">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3AA563"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alte aspecte sociale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EE77533"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087DBC7" w14:textId="77777777" w:rsidR="003F63CA" w:rsidRPr="007E5A65" w:rsidRDefault="003F63CA" w:rsidP="003F63CA">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3F63CA" w:rsidRPr="007E5A65" w14:paraId="0AA8D48F" w14:textId="77777777" w:rsidTr="0005353F">
              <w:trPr>
                <w:trHeight w:val="223"/>
                <w:jc w:val="center"/>
              </w:trPr>
              <w:tc>
                <w:tcPr>
                  <w:tcW w:w="9008" w:type="dxa"/>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C1271EA" w14:textId="77777777" w:rsidR="003F63CA" w:rsidRPr="007E5A65" w:rsidRDefault="003F63CA" w:rsidP="003F63CA">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De mediu</w:t>
                  </w:r>
                </w:p>
              </w:tc>
            </w:tr>
            <w:tr w:rsidR="003F63CA" w:rsidRPr="007E5A65" w14:paraId="5DB2B70F" w14:textId="77777777" w:rsidTr="0005353F">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9EF2E6C"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clima, inclusiv emisiile gazelor cu efect de seră și celor care afectează stratul de ozon</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7D488C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F8F0B55"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3</w:t>
                  </w:r>
                </w:p>
              </w:tc>
            </w:tr>
            <w:tr w:rsidR="003F63CA" w:rsidRPr="007E5A65" w14:paraId="51F3F11E"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25ABF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calitatea aerului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C4303B0" w14:textId="77777777" w:rsidR="003F63CA" w:rsidRPr="007E5A65" w:rsidRDefault="003F63CA" w:rsidP="003F63CA">
                  <w:pPr>
                    <w:shd w:val="clear" w:color="auto" w:fill="FFFFFF" w:themeFill="background1"/>
                    <w:ind w:firstLine="0"/>
                    <w:jc w:val="center"/>
                    <w:rPr>
                      <w:color w:val="000000" w:themeColor="text1"/>
                      <w:sz w:val="24"/>
                      <w:szCs w:val="24"/>
                      <w:lang w:val="ro-MD"/>
                    </w:rPr>
                  </w:pPr>
                  <w:r>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1F1526C" w14:textId="77777777" w:rsidR="003F63CA" w:rsidRDefault="003F63CA" w:rsidP="003F63CA">
                  <w:r w:rsidRPr="00B50ED6">
                    <w:rPr>
                      <w:color w:val="000000" w:themeColor="text1"/>
                      <w:sz w:val="24"/>
                      <w:szCs w:val="24"/>
                      <w:lang w:val="ro-MD"/>
                    </w:rPr>
                    <w:t>3</w:t>
                  </w:r>
                </w:p>
              </w:tc>
            </w:tr>
            <w:tr w:rsidR="003F63CA" w:rsidRPr="007E5A65" w14:paraId="3821A12D" w14:textId="77777777" w:rsidTr="0005353F">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675FDB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calitatea și cantitatea apei și resurselor acvatice, inclusiv a apei potabile și de alt gen</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7932BF3"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409D447" w14:textId="77777777" w:rsidR="003F63CA" w:rsidRDefault="003F63CA" w:rsidP="003F63CA">
                  <w:r w:rsidRPr="00B50ED6">
                    <w:rPr>
                      <w:color w:val="000000" w:themeColor="text1"/>
                      <w:sz w:val="24"/>
                      <w:szCs w:val="24"/>
                      <w:lang w:val="ro-MD"/>
                    </w:rPr>
                    <w:t>3</w:t>
                  </w:r>
                </w:p>
              </w:tc>
            </w:tr>
            <w:tr w:rsidR="003F63CA" w:rsidRPr="007E5A65" w14:paraId="0A9F400C" w14:textId="77777777" w:rsidTr="0005353F">
              <w:trPr>
                <w:trHeight w:val="12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D311F13"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biodiversitatea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0821309"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9213947" w14:textId="77777777" w:rsidR="003F63CA" w:rsidRDefault="003F63CA" w:rsidP="003F63CA">
                  <w:r w:rsidRPr="00B50ED6">
                    <w:rPr>
                      <w:color w:val="000000" w:themeColor="text1"/>
                      <w:sz w:val="24"/>
                      <w:szCs w:val="24"/>
                      <w:lang w:val="ro-MD"/>
                    </w:rPr>
                    <w:t>3</w:t>
                  </w:r>
                </w:p>
              </w:tc>
            </w:tr>
            <w:tr w:rsidR="003F63CA" w:rsidRPr="007E5A65" w14:paraId="57FB0A69" w14:textId="77777777" w:rsidTr="0005353F">
              <w:trPr>
                <w:trHeight w:val="21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68CB8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flora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154B23D"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946B0D7" w14:textId="77777777" w:rsidR="003F63CA" w:rsidRDefault="003F63CA" w:rsidP="003F63CA">
                  <w:r w:rsidRPr="00B50ED6">
                    <w:rPr>
                      <w:color w:val="000000" w:themeColor="text1"/>
                      <w:sz w:val="24"/>
                      <w:szCs w:val="24"/>
                      <w:lang w:val="ro-MD"/>
                    </w:rPr>
                    <w:t>3</w:t>
                  </w:r>
                </w:p>
              </w:tc>
            </w:tr>
            <w:tr w:rsidR="003F63CA" w:rsidRPr="007E5A65" w14:paraId="464853F7"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4CB43F9"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fauna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4FB7B88"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EBEBC3E" w14:textId="77777777" w:rsidR="003F63CA" w:rsidRDefault="003F63CA" w:rsidP="003F63CA">
                  <w:r w:rsidRPr="00B50ED6">
                    <w:rPr>
                      <w:color w:val="000000" w:themeColor="text1"/>
                      <w:sz w:val="24"/>
                      <w:szCs w:val="24"/>
                      <w:lang w:val="ro-MD"/>
                    </w:rPr>
                    <w:t>3</w:t>
                  </w:r>
                </w:p>
              </w:tc>
            </w:tr>
            <w:tr w:rsidR="003F63CA" w:rsidRPr="007E5A65" w14:paraId="48AE9CC6" w14:textId="77777777" w:rsidTr="0005353F">
              <w:trPr>
                <w:trHeight w:val="62"/>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FCA027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peisajele naturale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3CDAA55"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40C5891" w14:textId="77777777" w:rsidR="003F63CA" w:rsidRDefault="003F63CA" w:rsidP="003F63CA">
                  <w:r w:rsidRPr="00B50ED6">
                    <w:rPr>
                      <w:color w:val="000000" w:themeColor="text1"/>
                      <w:sz w:val="24"/>
                      <w:szCs w:val="24"/>
                      <w:lang w:val="ro-MD"/>
                    </w:rPr>
                    <w:t>3</w:t>
                  </w:r>
                </w:p>
              </w:tc>
            </w:tr>
            <w:tr w:rsidR="003F63CA" w:rsidRPr="007E5A65" w14:paraId="023A7148" w14:textId="77777777" w:rsidTr="0005353F">
              <w:trPr>
                <w:trHeight w:val="155"/>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DC1398F"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starea și resursele solului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8CA16CA"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BD91653" w14:textId="77777777" w:rsidR="003F63CA" w:rsidRDefault="003F63CA" w:rsidP="003F63CA">
                  <w:r w:rsidRPr="00B50ED6">
                    <w:rPr>
                      <w:color w:val="000000" w:themeColor="text1"/>
                      <w:sz w:val="24"/>
                      <w:szCs w:val="24"/>
                      <w:lang w:val="ro-MD"/>
                    </w:rPr>
                    <w:t>3</w:t>
                  </w:r>
                </w:p>
              </w:tc>
            </w:tr>
            <w:tr w:rsidR="003F63CA" w:rsidRPr="007E5A65" w14:paraId="01DAEC17"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1885D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producerea și reciclarea deșeurilor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2D342CE"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DB69E12" w14:textId="77777777" w:rsidR="003F63CA" w:rsidRDefault="003F63CA" w:rsidP="003F63CA">
                  <w:r w:rsidRPr="00B50ED6">
                    <w:rPr>
                      <w:color w:val="000000" w:themeColor="text1"/>
                      <w:sz w:val="24"/>
                      <w:szCs w:val="24"/>
                      <w:lang w:val="ro-MD"/>
                    </w:rPr>
                    <w:t>3</w:t>
                  </w:r>
                </w:p>
              </w:tc>
            </w:tr>
            <w:tr w:rsidR="003F63CA" w:rsidRPr="007E5A65" w14:paraId="26E50444" w14:textId="77777777" w:rsidTr="0005353F">
              <w:trPr>
                <w:trHeight w:val="9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9FCFC6"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utilizarea eficientă a resurselor regenerabile și neregenerabile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BF2B938" w14:textId="77777777" w:rsidR="003F63CA" w:rsidRDefault="003F63CA" w:rsidP="003F63CA">
                  <w:r w:rsidRPr="00E2181E">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9B88578" w14:textId="77777777" w:rsidR="003F63CA" w:rsidRDefault="003F63CA" w:rsidP="003F63CA">
                  <w:r w:rsidRPr="00297F76">
                    <w:rPr>
                      <w:color w:val="000000" w:themeColor="text1"/>
                      <w:sz w:val="24"/>
                      <w:szCs w:val="24"/>
                      <w:lang w:val="ro-MD"/>
                    </w:rPr>
                    <w:t>3</w:t>
                  </w:r>
                </w:p>
              </w:tc>
            </w:tr>
            <w:tr w:rsidR="003F63CA" w:rsidRPr="007E5A65" w14:paraId="32BFB80F" w14:textId="77777777" w:rsidTr="0005353F">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AE17CF8"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consumul și producția durabilă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7840EE1"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03BD74F" w14:textId="77777777" w:rsidR="003F63CA" w:rsidRDefault="003F63CA" w:rsidP="003F63CA">
                  <w:r w:rsidRPr="00297F76">
                    <w:rPr>
                      <w:color w:val="000000" w:themeColor="text1"/>
                      <w:sz w:val="24"/>
                      <w:szCs w:val="24"/>
                      <w:lang w:val="ro-MD"/>
                    </w:rPr>
                    <w:t>3</w:t>
                  </w:r>
                </w:p>
              </w:tc>
            </w:tr>
            <w:tr w:rsidR="003F63CA" w:rsidRPr="007E5A65" w14:paraId="24B35249" w14:textId="77777777" w:rsidTr="0005353F">
              <w:trPr>
                <w:trHeight w:val="10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004E06F"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intensitatea energetică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622B2A7"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C2C9095" w14:textId="77777777" w:rsidR="003F63CA" w:rsidRDefault="003F63CA" w:rsidP="003F63CA">
                  <w:r w:rsidRPr="00297F76">
                    <w:rPr>
                      <w:color w:val="000000" w:themeColor="text1"/>
                      <w:sz w:val="24"/>
                      <w:szCs w:val="24"/>
                      <w:lang w:val="ro-MD"/>
                    </w:rPr>
                    <w:t>3</w:t>
                  </w:r>
                </w:p>
              </w:tc>
            </w:tr>
            <w:tr w:rsidR="003F63CA" w:rsidRPr="007E5A65" w14:paraId="3142760B" w14:textId="77777777" w:rsidTr="0005353F">
              <w:trPr>
                <w:trHeight w:val="12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68902A"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eficiența și performanța energetică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C6F6656"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8B5CB3B" w14:textId="77777777" w:rsidR="003F63CA" w:rsidRDefault="003F63CA" w:rsidP="003F63CA">
                  <w:r w:rsidRPr="00297F76">
                    <w:rPr>
                      <w:color w:val="000000" w:themeColor="text1"/>
                      <w:sz w:val="24"/>
                      <w:szCs w:val="24"/>
                      <w:lang w:val="ro-MD"/>
                    </w:rPr>
                    <w:t>3</w:t>
                  </w:r>
                </w:p>
              </w:tc>
            </w:tr>
            <w:tr w:rsidR="003F63CA" w:rsidRPr="007E5A65" w14:paraId="4CDEE942" w14:textId="77777777" w:rsidTr="0005353F">
              <w:trPr>
                <w:trHeight w:val="180"/>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DB75524"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bunăstarea animalelor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D4A3B6A"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3D63C96" w14:textId="77777777" w:rsidR="003F63CA" w:rsidRDefault="003F63CA" w:rsidP="003F63CA">
                  <w:r w:rsidRPr="00297F76">
                    <w:rPr>
                      <w:color w:val="000000" w:themeColor="text1"/>
                      <w:sz w:val="24"/>
                      <w:szCs w:val="24"/>
                      <w:lang w:val="ro-MD"/>
                    </w:rPr>
                    <w:t>3</w:t>
                  </w:r>
                </w:p>
              </w:tc>
            </w:tr>
            <w:tr w:rsidR="003F63CA" w:rsidRPr="007E5A65" w14:paraId="4DD58EE1" w14:textId="77777777" w:rsidTr="0005353F">
              <w:trPr>
                <w:trHeight w:val="58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A76D9C"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riscuri majore pentru mediu (incendii, explozii, accidente etc.)</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824AAFA"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1C0003A" w14:textId="77777777" w:rsidR="003F63CA" w:rsidRDefault="003F63CA" w:rsidP="003F63CA">
                  <w:r w:rsidRPr="00297F76">
                    <w:rPr>
                      <w:color w:val="000000" w:themeColor="text1"/>
                      <w:sz w:val="24"/>
                      <w:szCs w:val="24"/>
                      <w:lang w:val="ro-MD"/>
                    </w:rPr>
                    <w:t>3</w:t>
                  </w:r>
                </w:p>
              </w:tc>
            </w:tr>
            <w:tr w:rsidR="003F63CA" w:rsidRPr="007E5A65" w14:paraId="1F7B0C7B" w14:textId="77777777" w:rsidTr="0005353F">
              <w:trPr>
                <w:trHeight w:val="292"/>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4D73777"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utilizarea terenurilor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F778F06"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8B694E6" w14:textId="77777777" w:rsidR="003F63CA" w:rsidRDefault="003F63CA" w:rsidP="003F63CA">
                  <w:r w:rsidRPr="00297F76">
                    <w:rPr>
                      <w:color w:val="000000" w:themeColor="text1"/>
                      <w:sz w:val="24"/>
                      <w:szCs w:val="24"/>
                      <w:lang w:val="ro-MD"/>
                    </w:rPr>
                    <w:t>3</w:t>
                  </w:r>
                </w:p>
              </w:tc>
            </w:tr>
            <w:tr w:rsidR="003F63CA" w:rsidRPr="007E5A65" w14:paraId="1BC84C3F" w14:textId="77777777" w:rsidTr="0005353F">
              <w:trPr>
                <w:trHeight w:val="292"/>
                <w:jc w:val="center"/>
              </w:trPr>
              <w:tc>
                <w:tcPr>
                  <w:tcW w:w="5224" w:type="dxa"/>
                  <w:tcBorders>
                    <w:top w:val="nil"/>
                    <w:left w:val="single" w:sz="6" w:space="0" w:color="000000"/>
                    <w:bottom w:val="single" w:sz="4" w:space="0" w:color="000000"/>
                    <w:right w:val="single" w:sz="6" w:space="0" w:color="000000"/>
                  </w:tcBorders>
                  <w:shd w:val="clear" w:color="auto" w:fill="FFFFFF" w:themeFill="background1"/>
                  <w:tcMar>
                    <w:top w:w="15" w:type="dxa"/>
                    <w:left w:w="45" w:type="dxa"/>
                    <w:bottom w:w="15" w:type="dxa"/>
                    <w:right w:w="45" w:type="dxa"/>
                  </w:tcMar>
                </w:tcPr>
                <w:p w14:paraId="4E9A84C1" w14:textId="77777777" w:rsidR="003F63CA" w:rsidRPr="007E5A65" w:rsidRDefault="003F63CA" w:rsidP="003F63CA">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alte aspecte de mediu</w:t>
                  </w:r>
                </w:p>
              </w:tc>
              <w:tc>
                <w:tcPr>
                  <w:tcW w:w="1701" w:type="dxa"/>
                  <w:tcBorders>
                    <w:top w:val="nil"/>
                    <w:left w:val="single" w:sz="6" w:space="0" w:color="000000"/>
                    <w:bottom w:val="single" w:sz="4" w:space="0" w:color="000000"/>
                    <w:right w:val="single" w:sz="6" w:space="0" w:color="000000"/>
                  </w:tcBorders>
                  <w:shd w:val="clear" w:color="auto" w:fill="FFFFFF" w:themeFill="background1"/>
                </w:tcPr>
                <w:p w14:paraId="18E3B130" w14:textId="77777777" w:rsidR="003F63CA" w:rsidRDefault="003F63CA" w:rsidP="003F63CA">
                  <w:r w:rsidRPr="001A5088">
                    <w:rPr>
                      <w:color w:val="000000" w:themeColor="text1"/>
                      <w:sz w:val="24"/>
                      <w:szCs w:val="24"/>
                      <w:lang w:val="ro-MD"/>
                    </w:rPr>
                    <w:t>1</w:t>
                  </w:r>
                </w:p>
              </w:tc>
              <w:tc>
                <w:tcPr>
                  <w:tcW w:w="2083" w:type="dxa"/>
                  <w:tcBorders>
                    <w:top w:val="nil"/>
                    <w:left w:val="single" w:sz="6" w:space="0" w:color="000000"/>
                    <w:bottom w:val="single" w:sz="4" w:space="0" w:color="000000"/>
                    <w:right w:val="single" w:sz="6" w:space="0" w:color="000000"/>
                  </w:tcBorders>
                  <w:shd w:val="clear" w:color="auto" w:fill="FFFFFF" w:themeFill="background1"/>
                </w:tcPr>
                <w:p w14:paraId="72114671" w14:textId="77777777" w:rsidR="003F63CA" w:rsidRDefault="003F63CA" w:rsidP="003F63CA">
                  <w:r w:rsidRPr="00297F76">
                    <w:rPr>
                      <w:color w:val="000000" w:themeColor="text1"/>
                      <w:sz w:val="24"/>
                      <w:szCs w:val="24"/>
                      <w:lang w:val="ro-MD"/>
                    </w:rPr>
                    <w:t>3</w:t>
                  </w:r>
                </w:p>
              </w:tc>
            </w:tr>
            <w:tr w:rsidR="003F63CA" w:rsidRPr="007E5A65" w14:paraId="230DDCBB" w14:textId="77777777" w:rsidTr="0005353F">
              <w:trPr>
                <w:trHeight w:val="2383"/>
                <w:jc w:val="center"/>
              </w:trPr>
              <w:tc>
                <w:tcPr>
                  <w:tcW w:w="9008" w:type="dxa"/>
                  <w:gridSpan w:val="3"/>
                  <w:tcBorders>
                    <w:top w:val="single" w:sz="4" w:space="0" w:color="000000"/>
                    <w:left w:val="single" w:sz="6" w:space="0" w:color="000000"/>
                    <w:bottom w:val="single" w:sz="4" w:space="0" w:color="000000"/>
                    <w:right w:val="single" w:sz="6" w:space="0" w:color="000000"/>
                  </w:tcBorders>
                  <w:shd w:val="clear" w:color="auto" w:fill="FFFFFF" w:themeFill="background1"/>
                  <w:tcMar>
                    <w:top w:w="15" w:type="dxa"/>
                    <w:left w:w="45" w:type="dxa"/>
                    <w:bottom w:w="15" w:type="dxa"/>
                    <w:right w:w="45" w:type="dxa"/>
                  </w:tcMar>
                </w:tcPr>
                <w:p w14:paraId="6E21D5A4" w14:textId="77777777" w:rsidR="003F63CA" w:rsidRPr="007E5A65" w:rsidRDefault="003F63CA" w:rsidP="003F63CA">
                  <w:pPr>
                    <w:shd w:val="clear" w:color="auto" w:fill="FFFFFF" w:themeFill="background1"/>
                    <w:ind w:firstLine="0"/>
                    <w:rPr>
                      <w:color w:val="000000" w:themeColor="text1"/>
                      <w:sz w:val="24"/>
                      <w:szCs w:val="24"/>
                      <w:lang w:val="ro-MD"/>
                    </w:rPr>
                  </w:pPr>
                  <w:r w:rsidRPr="007E5A65">
                    <w:rPr>
                      <w:i/>
                      <w:color w:val="000000" w:themeColor="text1"/>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E5A65">
                    <w:rPr>
                      <w:i/>
                      <w:color w:val="000000" w:themeColor="text1"/>
                      <w:sz w:val="24"/>
                      <w:szCs w:val="24"/>
                      <w:vertAlign w:val="superscript"/>
                      <w:lang w:val="ro-MD"/>
                    </w:rPr>
                    <w:t>1</w:t>
                  </w:r>
                  <w:r w:rsidRPr="007E5A65">
                    <w:rPr>
                      <w:i/>
                      <w:color w:val="000000" w:themeColor="text1"/>
                      <w:sz w:val="24"/>
                      <w:szCs w:val="24"/>
                      <w:lang w:val="ro-MD"/>
                    </w:rPr>
                    <w:t>) și, după caz,  b</w:t>
                  </w:r>
                  <w:r w:rsidRPr="007E5A65">
                    <w:rPr>
                      <w:i/>
                      <w:color w:val="000000" w:themeColor="text1"/>
                      <w:sz w:val="24"/>
                      <w:szCs w:val="24"/>
                      <w:vertAlign w:val="superscript"/>
                      <w:lang w:val="ro-MD"/>
                    </w:rPr>
                    <w:t>2</w:t>
                  </w:r>
                  <w:r w:rsidRPr="007E5A65">
                    <w:rPr>
                      <w:i/>
                      <w:color w:val="000000" w:themeColor="text1"/>
                      <w:sz w:val="24"/>
                      <w:szCs w:val="24"/>
                      <w:lang w:val="ro-MD"/>
                    </w:rPr>
                    <w:t>), privind analiza impacturilor opțiunilor.</w:t>
                  </w:r>
                </w:p>
              </w:tc>
            </w:tr>
          </w:tbl>
          <w:p w14:paraId="65D9B7FD" w14:textId="77777777" w:rsidR="00ED1AC0" w:rsidRPr="00BA709E" w:rsidRDefault="00ED1AC0" w:rsidP="00ED1AC0">
            <w:pPr>
              <w:ind w:firstLine="0"/>
              <w:rPr>
                <w:sz w:val="24"/>
                <w:szCs w:val="24"/>
                <w:lang w:val="ro-RO"/>
              </w:rPr>
            </w:pPr>
          </w:p>
        </w:tc>
      </w:tr>
      <w:tr w:rsidR="00ED1AC0" w:rsidRPr="00BA709E" w14:paraId="50203103"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38633" w14:textId="77777777" w:rsidR="00ED1AC0" w:rsidRPr="00BA709E" w:rsidRDefault="00ED1AC0" w:rsidP="00ED1AC0">
            <w:pPr>
              <w:ind w:firstLine="0"/>
              <w:jc w:val="right"/>
              <w:rPr>
                <w:b/>
                <w:bCs/>
                <w:sz w:val="24"/>
                <w:szCs w:val="24"/>
                <w:lang w:val="ro-RO"/>
              </w:rPr>
            </w:pPr>
            <w:r w:rsidRPr="00BA709E">
              <w:rPr>
                <w:b/>
                <w:bCs/>
                <w:sz w:val="24"/>
                <w:szCs w:val="24"/>
                <w:lang w:val="ro-RO"/>
              </w:rPr>
              <w:lastRenderedPageBreak/>
              <w:t>Anexe</w:t>
            </w:r>
          </w:p>
        </w:tc>
      </w:tr>
      <w:tr w:rsidR="00ED1AC0" w:rsidRPr="00BA709E" w14:paraId="25086DE7" w14:textId="77777777" w:rsidTr="003F63C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051BCC" w14:textId="77777777" w:rsidR="00ED1AC0" w:rsidRPr="00BA709E" w:rsidRDefault="00ED1AC0" w:rsidP="00ED1AC0">
            <w:pPr>
              <w:ind w:firstLine="0"/>
              <w:jc w:val="left"/>
              <w:rPr>
                <w:b/>
                <w:bCs/>
                <w:i/>
                <w:iCs/>
                <w:sz w:val="24"/>
                <w:szCs w:val="24"/>
                <w:lang w:val="ro-RO"/>
              </w:rPr>
            </w:pPr>
          </w:p>
        </w:tc>
      </w:tr>
    </w:tbl>
    <w:p w14:paraId="4F6CF615" w14:textId="77777777" w:rsidR="00042C35" w:rsidRPr="00BA709E" w:rsidRDefault="00042C35">
      <w:pPr>
        <w:rPr>
          <w:lang w:val="ro-RO"/>
        </w:rPr>
      </w:pPr>
    </w:p>
    <w:p w14:paraId="22296231" w14:textId="77777777" w:rsidR="00BA709E" w:rsidRPr="00BA709E" w:rsidRDefault="00BA709E">
      <w:pPr>
        <w:rPr>
          <w:lang w:val="ro-RO"/>
        </w:rPr>
      </w:pPr>
    </w:p>
    <w:sectPr w:rsidR="00BA709E" w:rsidRPr="00BA709E" w:rsidSect="005F2D8E">
      <w:pgSz w:w="11906" w:h="16838"/>
      <w:pgMar w:top="1276" w:right="1133" w:bottom="113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C8DAF" w14:textId="77777777" w:rsidR="005F2D8E" w:rsidRDefault="005F2D8E" w:rsidP="005C716C">
      <w:r>
        <w:separator/>
      </w:r>
    </w:p>
  </w:endnote>
  <w:endnote w:type="continuationSeparator" w:id="0">
    <w:p w14:paraId="5851CB94" w14:textId="77777777" w:rsidR="005F2D8E" w:rsidRDefault="005F2D8E" w:rsidP="005C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ohit Devanagari">
    <w:altName w:val="Times New Roman"/>
    <w:charset w:val="01"/>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690AD" w14:textId="77777777" w:rsidR="005F2D8E" w:rsidRDefault="005F2D8E" w:rsidP="005C716C">
      <w:r>
        <w:separator/>
      </w:r>
    </w:p>
  </w:footnote>
  <w:footnote w:type="continuationSeparator" w:id="0">
    <w:p w14:paraId="794D5C44" w14:textId="77777777" w:rsidR="005F2D8E" w:rsidRDefault="005F2D8E" w:rsidP="005C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4744"/>
    <w:multiLevelType w:val="multilevel"/>
    <w:tmpl w:val="64F8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0520C"/>
    <w:multiLevelType w:val="hybridMultilevel"/>
    <w:tmpl w:val="8AAA239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4D6891"/>
    <w:multiLevelType w:val="hybridMultilevel"/>
    <w:tmpl w:val="DB3AE8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D7C8C"/>
    <w:multiLevelType w:val="hybridMultilevel"/>
    <w:tmpl w:val="BF54B032"/>
    <w:lvl w:ilvl="0" w:tplc="6C36CD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A9D3E5D"/>
    <w:multiLevelType w:val="hybridMultilevel"/>
    <w:tmpl w:val="51300BE6"/>
    <w:lvl w:ilvl="0" w:tplc="6C36CD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C2403F"/>
    <w:multiLevelType w:val="multilevel"/>
    <w:tmpl w:val="DCC4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C2284"/>
    <w:multiLevelType w:val="multilevel"/>
    <w:tmpl w:val="C26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A1EE0"/>
    <w:multiLevelType w:val="hybridMultilevel"/>
    <w:tmpl w:val="4466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06C1"/>
    <w:multiLevelType w:val="hybridMultilevel"/>
    <w:tmpl w:val="881C3958"/>
    <w:lvl w:ilvl="0" w:tplc="BE1EFB12">
      <w:start w:val="1"/>
      <w:numFmt w:val="decimal"/>
      <w:lvlText w:val="%1."/>
      <w:lvlJc w:val="left"/>
      <w:pPr>
        <w:ind w:left="792" w:hanging="612"/>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234D7A5E"/>
    <w:multiLevelType w:val="hybridMultilevel"/>
    <w:tmpl w:val="97A049B2"/>
    <w:lvl w:ilvl="0" w:tplc="3DB6CB44">
      <w:start w:val="1"/>
      <w:numFmt w:val="bullet"/>
      <w:lvlText w:val=""/>
      <w:lvlJc w:val="left"/>
      <w:pPr>
        <w:ind w:left="720" w:hanging="360"/>
      </w:pPr>
      <w:rPr>
        <w:rFonts w:ascii="Symbol" w:hAnsi="Symbol" w:hint="default"/>
      </w:rPr>
    </w:lvl>
    <w:lvl w:ilvl="1" w:tplc="6BEE0788">
      <w:start w:val="1"/>
      <w:numFmt w:val="bullet"/>
      <w:lvlText w:val=""/>
      <w:lvlJc w:val="left"/>
      <w:pPr>
        <w:ind w:left="1440" w:hanging="360"/>
      </w:pPr>
      <w:rPr>
        <w:rFonts w:ascii="Symbol" w:hAnsi="Symbol" w:hint="default"/>
      </w:rPr>
    </w:lvl>
    <w:lvl w:ilvl="2" w:tplc="4F609782" w:tentative="1">
      <w:start w:val="1"/>
      <w:numFmt w:val="bullet"/>
      <w:lvlText w:val=""/>
      <w:lvlJc w:val="left"/>
      <w:pPr>
        <w:ind w:left="2160" w:hanging="360"/>
      </w:pPr>
      <w:rPr>
        <w:rFonts w:ascii="Wingdings" w:hAnsi="Wingdings" w:hint="default"/>
      </w:rPr>
    </w:lvl>
    <w:lvl w:ilvl="3" w:tplc="F78A014E" w:tentative="1">
      <w:start w:val="1"/>
      <w:numFmt w:val="bullet"/>
      <w:lvlText w:val=""/>
      <w:lvlJc w:val="left"/>
      <w:pPr>
        <w:ind w:left="2880" w:hanging="360"/>
      </w:pPr>
      <w:rPr>
        <w:rFonts w:ascii="Symbol" w:hAnsi="Symbol" w:hint="default"/>
      </w:rPr>
    </w:lvl>
    <w:lvl w:ilvl="4" w:tplc="52A0286E" w:tentative="1">
      <w:start w:val="1"/>
      <w:numFmt w:val="bullet"/>
      <w:lvlText w:val="o"/>
      <w:lvlJc w:val="left"/>
      <w:pPr>
        <w:ind w:left="3600" w:hanging="360"/>
      </w:pPr>
      <w:rPr>
        <w:rFonts w:ascii="Courier New" w:hAnsi="Courier New" w:cs="Courier New" w:hint="default"/>
      </w:rPr>
    </w:lvl>
    <w:lvl w:ilvl="5" w:tplc="5F8ABFB6" w:tentative="1">
      <w:start w:val="1"/>
      <w:numFmt w:val="bullet"/>
      <w:lvlText w:val=""/>
      <w:lvlJc w:val="left"/>
      <w:pPr>
        <w:ind w:left="4320" w:hanging="360"/>
      </w:pPr>
      <w:rPr>
        <w:rFonts w:ascii="Wingdings" w:hAnsi="Wingdings" w:hint="default"/>
      </w:rPr>
    </w:lvl>
    <w:lvl w:ilvl="6" w:tplc="45AA1528" w:tentative="1">
      <w:start w:val="1"/>
      <w:numFmt w:val="bullet"/>
      <w:lvlText w:val=""/>
      <w:lvlJc w:val="left"/>
      <w:pPr>
        <w:ind w:left="5040" w:hanging="360"/>
      </w:pPr>
      <w:rPr>
        <w:rFonts w:ascii="Symbol" w:hAnsi="Symbol" w:hint="default"/>
      </w:rPr>
    </w:lvl>
    <w:lvl w:ilvl="7" w:tplc="ECD89B74" w:tentative="1">
      <w:start w:val="1"/>
      <w:numFmt w:val="bullet"/>
      <w:lvlText w:val="o"/>
      <w:lvlJc w:val="left"/>
      <w:pPr>
        <w:ind w:left="5760" w:hanging="360"/>
      </w:pPr>
      <w:rPr>
        <w:rFonts w:ascii="Courier New" w:hAnsi="Courier New" w:cs="Courier New" w:hint="default"/>
      </w:rPr>
    </w:lvl>
    <w:lvl w:ilvl="8" w:tplc="5A06F3F6" w:tentative="1">
      <w:start w:val="1"/>
      <w:numFmt w:val="bullet"/>
      <w:lvlText w:val=""/>
      <w:lvlJc w:val="left"/>
      <w:pPr>
        <w:ind w:left="6480" w:hanging="360"/>
      </w:pPr>
      <w:rPr>
        <w:rFonts w:ascii="Wingdings" w:hAnsi="Wingdings" w:hint="default"/>
      </w:rPr>
    </w:lvl>
  </w:abstractNum>
  <w:abstractNum w:abstractNumId="10" w15:restartNumberingAfterBreak="0">
    <w:nsid w:val="2C4466A9"/>
    <w:multiLevelType w:val="hybridMultilevel"/>
    <w:tmpl w:val="6E1483B8"/>
    <w:lvl w:ilvl="0" w:tplc="6C36CD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0331B83"/>
    <w:multiLevelType w:val="multilevel"/>
    <w:tmpl w:val="2AB6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7041CD"/>
    <w:multiLevelType w:val="multilevel"/>
    <w:tmpl w:val="1780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206467"/>
    <w:multiLevelType w:val="multilevel"/>
    <w:tmpl w:val="43EE9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ED0329"/>
    <w:multiLevelType w:val="multilevel"/>
    <w:tmpl w:val="BBEC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6C0703"/>
    <w:multiLevelType w:val="hybridMultilevel"/>
    <w:tmpl w:val="5C4EB4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52E5803"/>
    <w:multiLevelType w:val="hybridMultilevel"/>
    <w:tmpl w:val="451CB1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F7C3A99"/>
    <w:multiLevelType w:val="hybridMultilevel"/>
    <w:tmpl w:val="7DEE7C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30A1142"/>
    <w:multiLevelType w:val="hybridMultilevel"/>
    <w:tmpl w:val="AD52D926"/>
    <w:lvl w:ilvl="0" w:tplc="E8F46BB6">
      <w:numFmt w:val="bullet"/>
      <w:lvlText w:val="•"/>
      <w:lvlJc w:val="left"/>
      <w:pPr>
        <w:ind w:left="1080" w:hanging="72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DFA400C"/>
    <w:multiLevelType w:val="multilevel"/>
    <w:tmpl w:val="A18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753691">
    <w:abstractNumId w:val="5"/>
  </w:num>
  <w:num w:numId="2" w16cid:durableId="654147529">
    <w:abstractNumId w:val="6"/>
  </w:num>
  <w:num w:numId="3" w16cid:durableId="1022243181">
    <w:abstractNumId w:val="12"/>
  </w:num>
  <w:num w:numId="4" w16cid:durableId="81537099">
    <w:abstractNumId w:val="0"/>
  </w:num>
  <w:num w:numId="5" w16cid:durableId="850723275">
    <w:abstractNumId w:val="19"/>
  </w:num>
  <w:num w:numId="6" w16cid:durableId="939529618">
    <w:abstractNumId w:val="13"/>
  </w:num>
  <w:num w:numId="7" w16cid:durableId="562637666">
    <w:abstractNumId w:val="14"/>
  </w:num>
  <w:num w:numId="8" w16cid:durableId="1130132089">
    <w:abstractNumId w:val="11"/>
  </w:num>
  <w:num w:numId="9" w16cid:durableId="523440640">
    <w:abstractNumId w:val="1"/>
  </w:num>
  <w:num w:numId="10" w16cid:durableId="1185435488">
    <w:abstractNumId w:val="15"/>
  </w:num>
  <w:num w:numId="11" w16cid:durableId="1154103017">
    <w:abstractNumId w:val="18"/>
  </w:num>
  <w:num w:numId="12" w16cid:durableId="1883010938">
    <w:abstractNumId w:val="3"/>
  </w:num>
  <w:num w:numId="13" w16cid:durableId="1515535722">
    <w:abstractNumId w:val="10"/>
  </w:num>
  <w:num w:numId="14" w16cid:durableId="1101874704">
    <w:abstractNumId w:val="4"/>
  </w:num>
  <w:num w:numId="15" w16cid:durableId="1889142852">
    <w:abstractNumId w:val="17"/>
  </w:num>
  <w:num w:numId="16" w16cid:durableId="367027023">
    <w:abstractNumId w:val="16"/>
  </w:num>
  <w:num w:numId="17" w16cid:durableId="115487043">
    <w:abstractNumId w:val="7"/>
  </w:num>
  <w:num w:numId="18" w16cid:durableId="1875071054">
    <w:abstractNumId w:val="9"/>
  </w:num>
  <w:num w:numId="19" w16cid:durableId="961036360">
    <w:abstractNumId w:val="8"/>
  </w:num>
  <w:num w:numId="20" w16cid:durableId="208221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05654"/>
    <w:rsid w:val="0002052B"/>
    <w:rsid w:val="00033B11"/>
    <w:rsid w:val="00035534"/>
    <w:rsid w:val="00036F06"/>
    <w:rsid w:val="00042C35"/>
    <w:rsid w:val="0005353F"/>
    <w:rsid w:val="00065550"/>
    <w:rsid w:val="00084C05"/>
    <w:rsid w:val="00090E98"/>
    <w:rsid w:val="000929C0"/>
    <w:rsid w:val="00094775"/>
    <w:rsid w:val="000A134D"/>
    <w:rsid w:val="000B3435"/>
    <w:rsid w:val="000C3D85"/>
    <w:rsid w:val="000D1B21"/>
    <w:rsid w:val="000D3F7C"/>
    <w:rsid w:val="00103A33"/>
    <w:rsid w:val="00114C82"/>
    <w:rsid w:val="00135397"/>
    <w:rsid w:val="00135EB3"/>
    <w:rsid w:val="0016678A"/>
    <w:rsid w:val="00171AB1"/>
    <w:rsid w:val="00183562"/>
    <w:rsid w:val="00184BF1"/>
    <w:rsid w:val="001B5C67"/>
    <w:rsid w:val="001C545E"/>
    <w:rsid w:val="001D6CC9"/>
    <w:rsid w:val="001F0C23"/>
    <w:rsid w:val="00217411"/>
    <w:rsid w:val="00217498"/>
    <w:rsid w:val="00227AD5"/>
    <w:rsid w:val="00232460"/>
    <w:rsid w:val="0023336D"/>
    <w:rsid w:val="00250584"/>
    <w:rsid w:val="0025668A"/>
    <w:rsid w:val="00256D0B"/>
    <w:rsid w:val="00260F68"/>
    <w:rsid w:val="00276277"/>
    <w:rsid w:val="00282CC5"/>
    <w:rsid w:val="002901B6"/>
    <w:rsid w:val="002A4721"/>
    <w:rsid w:val="002B0DDA"/>
    <w:rsid w:val="002C040B"/>
    <w:rsid w:val="002E0306"/>
    <w:rsid w:val="002E03DA"/>
    <w:rsid w:val="00300C8D"/>
    <w:rsid w:val="003039A3"/>
    <w:rsid w:val="00305782"/>
    <w:rsid w:val="003179D4"/>
    <w:rsid w:val="003465B2"/>
    <w:rsid w:val="003E2949"/>
    <w:rsid w:val="003F63CA"/>
    <w:rsid w:val="004332B0"/>
    <w:rsid w:val="0044327B"/>
    <w:rsid w:val="00457A8E"/>
    <w:rsid w:val="00475512"/>
    <w:rsid w:val="0049332B"/>
    <w:rsid w:val="004A04F4"/>
    <w:rsid w:val="004B3605"/>
    <w:rsid w:val="004C438F"/>
    <w:rsid w:val="004C5B73"/>
    <w:rsid w:val="004C7A5E"/>
    <w:rsid w:val="004D5ACF"/>
    <w:rsid w:val="004E00A0"/>
    <w:rsid w:val="005111FB"/>
    <w:rsid w:val="00511826"/>
    <w:rsid w:val="0052216D"/>
    <w:rsid w:val="0053767E"/>
    <w:rsid w:val="00544892"/>
    <w:rsid w:val="00545C50"/>
    <w:rsid w:val="00580AA4"/>
    <w:rsid w:val="005A4655"/>
    <w:rsid w:val="005C716C"/>
    <w:rsid w:val="005E01D0"/>
    <w:rsid w:val="005F2D8E"/>
    <w:rsid w:val="005F5CE3"/>
    <w:rsid w:val="0060652A"/>
    <w:rsid w:val="006103AF"/>
    <w:rsid w:val="00621098"/>
    <w:rsid w:val="0065232E"/>
    <w:rsid w:val="00656FEA"/>
    <w:rsid w:val="00661B5A"/>
    <w:rsid w:val="006816FC"/>
    <w:rsid w:val="00693101"/>
    <w:rsid w:val="006A1F90"/>
    <w:rsid w:val="006A343A"/>
    <w:rsid w:val="006C5008"/>
    <w:rsid w:val="006E0F05"/>
    <w:rsid w:val="006E2040"/>
    <w:rsid w:val="006F19E1"/>
    <w:rsid w:val="00704E8B"/>
    <w:rsid w:val="0071348C"/>
    <w:rsid w:val="00742DE8"/>
    <w:rsid w:val="00744260"/>
    <w:rsid w:val="00771A08"/>
    <w:rsid w:val="00772950"/>
    <w:rsid w:val="00777001"/>
    <w:rsid w:val="00797CF9"/>
    <w:rsid w:val="007B05B1"/>
    <w:rsid w:val="007B328F"/>
    <w:rsid w:val="00805656"/>
    <w:rsid w:val="00807AB4"/>
    <w:rsid w:val="008103CD"/>
    <w:rsid w:val="00810D23"/>
    <w:rsid w:val="00812243"/>
    <w:rsid w:val="00832ADD"/>
    <w:rsid w:val="0083711D"/>
    <w:rsid w:val="00844660"/>
    <w:rsid w:val="00850B12"/>
    <w:rsid w:val="00852069"/>
    <w:rsid w:val="008774D0"/>
    <w:rsid w:val="008910CE"/>
    <w:rsid w:val="0089723B"/>
    <w:rsid w:val="008976A4"/>
    <w:rsid w:val="008A3D39"/>
    <w:rsid w:val="008C76D0"/>
    <w:rsid w:val="008D6D72"/>
    <w:rsid w:val="008E2A4C"/>
    <w:rsid w:val="008F22E7"/>
    <w:rsid w:val="008F5B16"/>
    <w:rsid w:val="00916342"/>
    <w:rsid w:val="00943251"/>
    <w:rsid w:val="00976D9C"/>
    <w:rsid w:val="0098317D"/>
    <w:rsid w:val="00995ACB"/>
    <w:rsid w:val="009A45F9"/>
    <w:rsid w:val="009C49D5"/>
    <w:rsid w:val="009D50E9"/>
    <w:rsid w:val="009E77E4"/>
    <w:rsid w:val="009F5FB3"/>
    <w:rsid w:val="00A42F52"/>
    <w:rsid w:val="00A60399"/>
    <w:rsid w:val="00A604F1"/>
    <w:rsid w:val="00A806B1"/>
    <w:rsid w:val="00A818D7"/>
    <w:rsid w:val="00A81D83"/>
    <w:rsid w:val="00AA2878"/>
    <w:rsid w:val="00AA4BCD"/>
    <w:rsid w:val="00AC1872"/>
    <w:rsid w:val="00AC674F"/>
    <w:rsid w:val="00AF6462"/>
    <w:rsid w:val="00B40208"/>
    <w:rsid w:val="00B55812"/>
    <w:rsid w:val="00B6457B"/>
    <w:rsid w:val="00B7105E"/>
    <w:rsid w:val="00B72375"/>
    <w:rsid w:val="00B86294"/>
    <w:rsid w:val="00B917B3"/>
    <w:rsid w:val="00B95BD8"/>
    <w:rsid w:val="00BA457D"/>
    <w:rsid w:val="00BA709E"/>
    <w:rsid w:val="00BB193F"/>
    <w:rsid w:val="00BC5028"/>
    <w:rsid w:val="00BC5D44"/>
    <w:rsid w:val="00BD14DE"/>
    <w:rsid w:val="00BD1A27"/>
    <w:rsid w:val="00C168FF"/>
    <w:rsid w:val="00C33CD9"/>
    <w:rsid w:val="00C829A7"/>
    <w:rsid w:val="00C83512"/>
    <w:rsid w:val="00C973D2"/>
    <w:rsid w:val="00CA63BE"/>
    <w:rsid w:val="00CB5AD9"/>
    <w:rsid w:val="00CB7419"/>
    <w:rsid w:val="00CC4684"/>
    <w:rsid w:val="00CC6656"/>
    <w:rsid w:val="00D0135C"/>
    <w:rsid w:val="00D01B64"/>
    <w:rsid w:val="00D03C22"/>
    <w:rsid w:val="00D049DB"/>
    <w:rsid w:val="00D3708B"/>
    <w:rsid w:val="00D373AF"/>
    <w:rsid w:val="00D62AF7"/>
    <w:rsid w:val="00D715D3"/>
    <w:rsid w:val="00D75EDE"/>
    <w:rsid w:val="00D75F70"/>
    <w:rsid w:val="00D76F12"/>
    <w:rsid w:val="00D93D17"/>
    <w:rsid w:val="00D978F4"/>
    <w:rsid w:val="00DB218D"/>
    <w:rsid w:val="00DC4336"/>
    <w:rsid w:val="00DD257B"/>
    <w:rsid w:val="00DD281F"/>
    <w:rsid w:val="00DD3416"/>
    <w:rsid w:val="00DE76E3"/>
    <w:rsid w:val="00E03EF3"/>
    <w:rsid w:val="00E10019"/>
    <w:rsid w:val="00E13998"/>
    <w:rsid w:val="00E21ABF"/>
    <w:rsid w:val="00E43FE5"/>
    <w:rsid w:val="00E90F65"/>
    <w:rsid w:val="00EB1C1C"/>
    <w:rsid w:val="00ED1AC0"/>
    <w:rsid w:val="00F023D7"/>
    <w:rsid w:val="00F3406A"/>
    <w:rsid w:val="00F34B7A"/>
    <w:rsid w:val="00F35E05"/>
    <w:rsid w:val="00F37CAF"/>
    <w:rsid w:val="00F45351"/>
    <w:rsid w:val="00F547CD"/>
    <w:rsid w:val="00F763B9"/>
    <w:rsid w:val="00FA2B2E"/>
    <w:rsid w:val="00FA6F58"/>
    <w:rsid w:val="00FB1D3B"/>
    <w:rsid w:val="00FC0DA9"/>
    <w:rsid w:val="00FD4420"/>
    <w:rsid w:val="00FD4E5E"/>
    <w:rsid w:val="00FE26DD"/>
    <w:rsid w:val="00FE2A36"/>
    <w:rsid w:val="00FE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D30F"/>
  <w15:docId w15:val="{749060E9-F468-4C1B-A4EE-8340E2E2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C82"/>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5C716C"/>
    <w:pPr>
      <w:keepNext/>
      <w:spacing w:line="276" w:lineRule="auto"/>
      <w:jc w:val="center"/>
      <w:outlineLvl w:val="0"/>
    </w:pPr>
    <w:rPr>
      <w:b/>
      <w:sz w:val="24"/>
      <w:szCs w:val="24"/>
      <w:lang w:val="ro-RO"/>
    </w:rPr>
  </w:style>
  <w:style w:type="paragraph" w:styleId="2">
    <w:name w:val="heading 2"/>
    <w:basedOn w:val="a"/>
    <w:next w:val="a"/>
    <w:link w:val="20"/>
    <w:uiPriority w:val="9"/>
    <w:unhideWhenUsed/>
    <w:qFormat/>
    <w:rsid w:val="00661B5A"/>
    <w:pPr>
      <w:keepNext/>
      <w:ind w:firstLine="0"/>
      <w:jc w:val="left"/>
      <w:outlineLvl w:val="1"/>
    </w:pPr>
    <w:rPr>
      <w:i/>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basedOn w:val="a0"/>
    <w:uiPriority w:val="99"/>
    <w:unhideWhenUsed/>
    <w:rsid w:val="008976A4"/>
    <w:rPr>
      <w:color w:val="0000FF" w:themeColor="hyperlink"/>
      <w:u w:val="single"/>
    </w:rPr>
  </w:style>
  <w:style w:type="paragraph" w:styleId="a5">
    <w:name w:val="No Spacing"/>
    <w:uiPriority w:val="1"/>
    <w:qFormat/>
    <w:rsid w:val="008103CD"/>
    <w:pPr>
      <w:spacing w:after="0" w:line="240" w:lineRule="auto"/>
      <w:ind w:firstLine="720"/>
      <w:jc w:val="both"/>
    </w:pPr>
    <w:rPr>
      <w:rFonts w:ascii="Times New Roman" w:eastAsia="Times New Roman" w:hAnsi="Times New Roman" w:cs="Times New Roman"/>
      <w:sz w:val="20"/>
      <w:szCs w:val="20"/>
      <w:lang w:val="en-US"/>
    </w:rPr>
  </w:style>
  <w:style w:type="paragraph" w:styleId="a6">
    <w:name w:val="Balloon Text"/>
    <w:basedOn w:val="a"/>
    <w:link w:val="a7"/>
    <w:uiPriority w:val="99"/>
    <w:semiHidden/>
    <w:unhideWhenUsed/>
    <w:rsid w:val="00FE7802"/>
    <w:rPr>
      <w:rFonts w:ascii="Segoe UI" w:hAnsi="Segoe UI" w:cs="Segoe UI"/>
      <w:sz w:val="18"/>
      <w:szCs w:val="18"/>
    </w:rPr>
  </w:style>
  <w:style w:type="character" w:customStyle="1" w:styleId="a7">
    <w:name w:val="Текст выноски Знак"/>
    <w:basedOn w:val="a0"/>
    <w:link w:val="a6"/>
    <w:uiPriority w:val="99"/>
    <w:semiHidden/>
    <w:rsid w:val="00FE7802"/>
    <w:rPr>
      <w:rFonts w:ascii="Segoe UI" w:eastAsia="Times New Roman" w:hAnsi="Segoe UI" w:cs="Segoe UI"/>
      <w:sz w:val="18"/>
      <w:szCs w:val="18"/>
      <w:lang w:val="en-US"/>
    </w:rPr>
  </w:style>
  <w:style w:type="table" w:styleId="a8">
    <w:name w:val="Table Grid"/>
    <w:basedOn w:val="a1"/>
    <w:uiPriority w:val="59"/>
    <w:rsid w:val="0077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Bullet Points,Liste Paragraf,Normal bullet 2,body 2,List Paragraph1,Scriptoria bullet points,HotarirePunct1,Абзац списка1,List Paragraph 1,Bullets,List Paragraph (numbered (a)),Bullet,Заголовок 3 глава,Akapit z listą BS,Outlines a.b.c."/>
    <w:basedOn w:val="a"/>
    <w:link w:val="aa"/>
    <w:uiPriority w:val="34"/>
    <w:qFormat/>
    <w:rsid w:val="00036F06"/>
    <w:pPr>
      <w:ind w:left="720"/>
      <w:contextualSpacing/>
    </w:pPr>
  </w:style>
  <w:style w:type="paragraph" w:styleId="ab">
    <w:name w:val="caption"/>
    <w:basedOn w:val="a"/>
    <w:uiPriority w:val="35"/>
    <w:qFormat/>
    <w:rsid w:val="00BA709E"/>
    <w:pPr>
      <w:suppressLineNumbers/>
      <w:suppressAutoHyphens/>
      <w:spacing w:before="120" w:after="120"/>
      <w:ind w:firstLine="709"/>
    </w:pPr>
    <w:rPr>
      <w:rFonts w:cs="Lohit Devanagari"/>
      <w:i/>
      <w:iCs/>
      <w:sz w:val="24"/>
      <w:szCs w:val="24"/>
    </w:rPr>
  </w:style>
  <w:style w:type="character" w:customStyle="1" w:styleId="aa">
    <w:name w:val="Абзац списка Знак"/>
    <w:aliases w:val="Bullet Points Знак,Liste Paragraf Знак,Normal bullet 2 Знак,body 2 Знак,List Paragraph1 Знак,Scriptoria bullet points Знак,HotarirePunct1 Знак,Абзац списка1 Знак,List Paragraph 1 Знак,Bullets Знак,List Paragraph (numbered (a)) Знак"/>
    <w:link w:val="a9"/>
    <w:uiPriority w:val="34"/>
    <w:qFormat/>
    <w:locked/>
    <w:rsid w:val="00BA709E"/>
    <w:rPr>
      <w:rFonts w:ascii="Times New Roman" w:eastAsia="Times New Roman" w:hAnsi="Times New Roman" w:cs="Times New Roman"/>
      <w:sz w:val="20"/>
      <w:szCs w:val="20"/>
      <w:lang w:val="en-US"/>
    </w:rPr>
  </w:style>
  <w:style w:type="paragraph" w:styleId="ac">
    <w:name w:val="Body Text"/>
    <w:basedOn w:val="a"/>
    <w:link w:val="ad"/>
    <w:uiPriority w:val="99"/>
    <w:unhideWhenUsed/>
    <w:rsid w:val="00AA2878"/>
    <w:pPr>
      <w:ind w:firstLine="0"/>
    </w:pPr>
    <w:rPr>
      <w:sz w:val="24"/>
      <w:szCs w:val="24"/>
      <w:lang w:val="ro-RO"/>
    </w:rPr>
  </w:style>
  <w:style w:type="character" w:customStyle="1" w:styleId="ad">
    <w:name w:val="Основной текст Знак"/>
    <w:basedOn w:val="a0"/>
    <w:link w:val="ac"/>
    <w:uiPriority w:val="99"/>
    <w:rsid w:val="00AA2878"/>
    <w:rPr>
      <w:rFonts w:ascii="Times New Roman" w:eastAsia="Times New Roman" w:hAnsi="Times New Roman" w:cs="Times New Roman"/>
      <w:sz w:val="24"/>
      <w:szCs w:val="24"/>
      <w:lang w:val="ro-RO"/>
    </w:rPr>
  </w:style>
  <w:style w:type="paragraph" w:styleId="ae">
    <w:name w:val="Body Text Indent"/>
    <w:basedOn w:val="a"/>
    <w:link w:val="af"/>
    <w:uiPriority w:val="99"/>
    <w:unhideWhenUsed/>
    <w:rsid w:val="00DD257B"/>
    <w:pPr>
      <w:ind w:firstLine="522"/>
    </w:pPr>
    <w:rPr>
      <w:color w:val="FF0000"/>
      <w:sz w:val="24"/>
      <w:szCs w:val="24"/>
      <w:lang w:val="ro-RO"/>
    </w:rPr>
  </w:style>
  <w:style w:type="character" w:customStyle="1" w:styleId="af">
    <w:name w:val="Основной текст с отступом Знак"/>
    <w:basedOn w:val="a0"/>
    <w:link w:val="ae"/>
    <w:uiPriority w:val="99"/>
    <w:rsid w:val="00DD257B"/>
    <w:rPr>
      <w:rFonts w:ascii="Times New Roman" w:eastAsia="Times New Roman" w:hAnsi="Times New Roman" w:cs="Times New Roman"/>
      <w:color w:val="FF0000"/>
      <w:sz w:val="24"/>
      <w:szCs w:val="24"/>
      <w:lang w:val="ro-RO"/>
    </w:rPr>
  </w:style>
  <w:style w:type="character" w:customStyle="1" w:styleId="10">
    <w:name w:val="Заголовок 1 Знак"/>
    <w:basedOn w:val="a0"/>
    <w:link w:val="1"/>
    <w:uiPriority w:val="9"/>
    <w:rsid w:val="005C716C"/>
    <w:rPr>
      <w:rFonts w:ascii="Times New Roman" w:eastAsia="Times New Roman" w:hAnsi="Times New Roman" w:cs="Times New Roman"/>
      <w:b/>
      <w:sz w:val="24"/>
      <w:szCs w:val="24"/>
      <w:lang w:val="ro-RO"/>
    </w:rPr>
  </w:style>
  <w:style w:type="paragraph" w:styleId="af0">
    <w:name w:val="footnote text"/>
    <w:basedOn w:val="a"/>
    <w:link w:val="af1"/>
    <w:uiPriority w:val="99"/>
    <w:unhideWhenUsed/>
    <w:rsid w:val="005C716C"/>
    <w:pPr>
      <w:ind w:firstLine="0"/>
      <w:jc w:val="left"/>
    </w:pPr>
    <w:rPr>
      <w:rFonts w:asciiTheme="minorHAnsi" w:eastAsiaTheme="minorHAnsi" w:hAnsiTheme="minorHAnsi" w:cstheme="minorBidi"/>
      <w:lang w:val="ru-RU"/>
    </w:rPr>
  </w:style>
  <w:style w:type="character" w:customStyle="1" w:styleId="af1">
    <w:name w:val="Текст сноски Знак"/>
    <w:basedOn w:val="a0"/>
    <w:link w:val="af0"/>
    <w:uiPriority w:val="99"/>
    <w:rsid w:val="005C716C"/>
    <w:rPr>
      <w:sz w:val="20"/>
      <w:szCs w:val="20"/>
      <w:lang w:val="ru-RU"/>
    </w:rPr>
  </w:style>
  <w:style w:type="character" w:styleId="af2">
    <w:name w:val="footnote reference"/>
    <w:basedOn w:val="a0"/>
    <w:uiPriority w:val="99"/>
    <w:semiHidden/>
    <w:unhideWhenUsed/>
    <w:rsid w:val="005C716C"/>
    <w:rPr>
      <w:vertAlign w:val="superscript"/>
    </w:rPr>
  </w:style>
  <w:style w:type="paragraph" w:styleId="21">
    <w:name w:val="Body Text Indent 2"/>
    <w:basedOn w:val="a"/>
    <w:link w:val="22"/>
    <w:uiPriority w:val="99"/>
    <w:unhideWhenUsed/>
    <w:rsid w:val="005C716C"/>
    <w:pPr>
      <w:ind w:firstLine="664"/>
    </w:pPr>
    <w:rPr>
      <w:color w:val="FF0000"/>
      <w:sz w:val="24"/>
      <w:szCs w:val="24"/>
      <w:lang w:val="ro-RO"/>
    </w:rPr>
  </w:style>
  <w:style w:type="character" w:customStyle="1" w:styleId="22">
    <w:name w:val="Основной текст с отступом 2 Знак"/>
    <w:basedOn w:val="a0"/>
    <w:link w:val="21"/>
    <w:uiPriority w:val="99"/>
    <w:rsid w:val="005C716C"/>
    <w:rPr>
      <w:rFonts w:ascii="Times New Roman" w:eastAsia="Times New Roman" w:hAnsi="Times New Roman" w:cs="Times New Roman"/>
      <w:color w:val="FF0000"/>
      <w:sz w:val="24"/>
      <w:szCs w:val="24"/>
      <w:lang w:val="ro-RO"/>
    </w:rPr>
  </w:style>
  <w:style w:type="paragraph" w:styleId="3">
    <w:name w:val="Body Text Indent 3"/>
    <w:basedOn w:val="a"/>
    <w:link w:val="30"/>
    <w:uiPriority w:val="99"/>
    <w:unhideWhenUsed/>
    <w:rsid w:val="005C716C"/>
    <w:pPr>
      <w:ind w:firstLine="522"/>
    </w:pPr>
    <w:rPr>
      <w:sz w:val="24"/>
      <w:szCs w:val="24"/>
      <w:lang w:val="ro-RO"/>
    </w:rPr>
  </w:style>
  <w:style w:type="character" w:customStyle="1" w:styleId="30">
    <w:name w:val="Основной текст с отступом 3 Знак"/>
    <w:basedOn w:val="a0"/>
    <w:link w:val="3"/>
    <w:uiPriority w:val="99"/>
    <w:rsid w:val="005C716C"/>
    <w:rPr>
      <w:rFonts w:ascii="Times New Roman" w:eastAsia="Times New Roman" w:hAnsi="Times New Roman" w:cs="Times New Roman"/>
      <w:sz w:val="24"/>
      <w:szCs w:val="24"/>
      <w:lang w:val="ro-RO"/>
    </w:rPr>
  </w:style>
  <w:style w:type="character" w:customStyle="1" w:styleId="20">
    <w:name w:val="Заголовок 2 Знак"/>
    <w:basedOn w:val="a0"/>
    <w:link w:val="2"/>
    <w:uiPriority w:val="9"/>
    <w:rsid w:val="00661B5A"/>
    <w:rPr>
      <w:rFonts w:ascii="Times New Roman" w:eastAsia="Times New Roman" w:hAnsi="Times New Roman" w:cs="Times New Roman"/>
      <w:i/>
      <w:sz w:val="24"/>
      <w:szCs w:val="24"/>
      <w:lang w:val="ro-RO"/>
    </w:rPr>
  </w:style>
  <w:style w:type="paragraph" w:styleId="af3">
    <w:name w:val="header"/>
    <w:basedOn w:val="a"/>
    <w:link w:val="af4"/>
    <w:uiPriority w:val="99"/>
    <w:unhideWhenUsed/>
    <w:rsid w:val="00744260"/>
    <w:pPr>
      <w:tabs>
        <w:tab w:val="center" w:pos="4536"/>
        <w:tab w:val="right" w:pos="9072"/>
      </w:tabs>
      <w:ind w:firstLine="0"/>
      <w:jc w:val="left"/>
    </w:pPr>
    <w:rPr>
      <w:sz w:val="24"/>
      <w:szCs w:val="24"/>
      <w:lang w:val="de-DE" w:eastAsia="de-DE"/>
    </w:rPr>
  </w:style>
  <w:style w:type="character" w:customStyle="1" w:styleId="af4">
    <w:name w:val="Верхний колонтитул Знак"/>
    <w:basedOn w:val="a0"/>
    <w:link w:val="af3"/>
    <w:uiPriority w:val="99"/>
    <w:rsid w:val="00744260"/>
    <w:rPr>
      <w:rFonts w:ascii="Times New Roman" w:eastAsia="Times New Roman" w:hAnsi="Times New Roman" w:cs="Times New Roman"/>
      <w:sz w:val="24"/>
      <w:szCs w:val="24"/>
      <w:lang w:val="de-DE" w:eastAsia="de-DE"/>
    </w:rPr>
  </w:style>
  <w:style w:type="character" w:styleId="af5">
    <w:name w:val="FollowedHyperlink"/>
    <w:basedOn w:val="a0"/>
    <w:uiPriority w:val="99"/>
    <w:semiHidden/>
    <w:unhideWhenUsed/>
    <w:rsid w:val="00744260"/>
    <w:rPr>
      <w:color w:val="800080" w:themeColor="followedHyperlink"/>
      <w:u w:val="single"/>
    </w:rPr>
  </w:style>
  <w:style w:type="character" w:styleId="af6">
    <w:name w:val="Unresolved Mention"/>
    <w:basedOn w:val="a0"/>
    <w:uiPriority w:val="99"/>
    <w:semiHidden/>
    <w:unhideWhenUsed/>
    <w:rsid w:val="002E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87723">
      <w:bodyDiv w:val="1"/>
      <w:marLeft w:val="0"/>
      <w:marRight w:val="0"/>
      <w:marTop w:val="0"/>
      <w:marBottom w:val="0"/>
      <w:divBdr>
        <w:top w:val="none" w:sz="0" w:space="0" w:color="auto"/>
        <w:left w:val="none" w:sz="0" w:space="0" w:color="auto"/>
        <w:bottom w:val="none" w:sz="0" w:space="0" w:color="auto"/>
        <w:right w:val="none" w:sz="0" w:space="0" w:color="auto"/>
      </w:divBdr>
    </w:div>
    <w:div w:id="16549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omtradeplus.un.org/" TargetMode="External"/><Relationship Id="rId26" Type="http://schemas.openxmlformats.org/officeDocument/2006/relationships/hyperlink" Target="http://clima.md/doc.php?l=ro&amp;idc=82&amp;id=4319" TargetMode="External"/><Relationship Id="rId3" Type="http://schemas.openxmlformats.org/officeDocument/2006/relationships/styles" Target="styles.xml"/><Relationship Id="rId21" Type="http://schemas.openxmlformats.org/officeDocument/2006/relationships/hyperlink" Target="https://comtradeplus.un.org/" TargetMode="External"/><Relationship Id="rId34" Type="http://schemas.openxmlformats.org/officeDocument/2006/relationships/hyperlink" Target="https://mediu.gov.md/ro/content/4373"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png"/><Relationship Id="rId25" Type="http://schemas.openxmlformats.org/officeDocument/2006/relationships/hyperlink" Target="https://comtradeplus.un.org/" TargetMode="External"/><Relationship Id="rId33" Type="http://schemas.openxmlformats.org/officeDocument/2006/relationships/hyperlink" Target="https://mediu.gov.md/ro/content/4254" TargetMode="External"/><Relationship Id="rId2" Type="http://schemas.openxmlformats.org/officeDocument/2006/relationships/numbering" Target="numbering.xml"/><Relationship Id="rId16" Type="http://schemas.openxmlformats.org/officeDocument/2006/relationships/hyperlink" Target="https://comtrade.un.org/data" TargetMode="External"/><Relationship Id="rId20" Type="http://schemas.openxmlformats.org/officeDocument/2006/relationships/image" Target="media/image4.png"/><Relationship Id="rId29" Type="http://schemas.openxmlformats.org/officeDocument/2006/relationships/hyperlink" Target="http://mediu.gov.md/ro/content/4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a.md" TargetMode="External"/><Relationship Id="rId24" Type="http://schemas.openxmlformats.org/officeDocument/2006/relationships/chart" Target="charts/chart5.xml"/><Relationship Id="rId32" Type="http://schemas.openxmlformats.org/officeDocument/2006/relationships/hyperlink" Target="https://www.mediu.gov.md/ro/content/4187" TargetMode="External"/><Relationship Id="rId5" Type="http://schemas.openxmlformats.org/officeDocument/2006/relationships/webSettings" Target="webSettings.xml"/><Relationship Id="rId15" Type="http://schemas.openxmlformats.org/officeDocument/2006/relationships/hyperlink" Target="https://comtradeplus.un.org/" TargetMode="External"/><Relationship Id="rId23" Type="http://schemas.openxmlformats.org/officeDocument/2006/relationships/hyperlink" Target="https://comtradeplus.un.org/" TargetMode="External"/><Relationship Id="rId28" Type="http://schemas.openxmlformats.org/officeDocument/2006/relationships/hyperlink" Target="https://fia.md/event/workshop-on-the-implementation-of-waste-legislation/"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comtrade.un.org/data" TargetMode="External"/><Relationship Id="rId31" Type="http://schemas.openxmlformats.org/officeDocument/2006/relationships/hyperlink" Target="http://mediu.gov.md/ro/content/403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chart" Target="charts/chart4.xml"/><Relationship Id="rId27" Type="http://schemas.openxmlformats.org/officeDocument/2006/relationships/hyperlink" Target="http://clima.md/doc.php?l=ro&amp;idc=81&amp;id=4256" TargetMode="External"/><Relationship Id="rId30" Type="http://schemas.openxmlformats.org/officeDocument/2006/relationships/hyperlink" Target="http://mediu.gov.md/ro/content/4089" TargetMode="External"/><Relationship Id="rId35" Type="http://schemas.openxmlformats.org/officeDocument/2006/relationships/fontTable" Target="fontTable.xml"/><Relationship Id="rId8" Type="http://schemas.openxmlformats.org/officeDocument/2006/relationships/hyperlink" Target="mailto:virginia.galatonov@mediu.gov.m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lucru\studiu%20plastic\MED060300reg_20230117-2028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ucru\studiu%20plastic\MED060300reg_20230117-2028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natalia\IPCC\BTR%202023\Chemical%20composition%20MSW.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Tatiana\Desktop\Microsoft%20Excel%20Worksheet%20nou.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atiana\Desktop\Microsoft%20Excel%20Worksheet%20nou.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MD" sz="900"/>
              <a:t>Deseuri municipale colectate de la populatie, institutii si agenti economici, mii metri cubi</a:t>
            </a:r>
            <a:endParaRPr lang="ru-RU" sz="900"/>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'[MED060300reg_20230117-202811.xlsx]MED060300reg'!$A$5</c:f>
              <c:strCache>
                <c:ptCount val="1"/>
                <c:pt idx="0">
                  <c:v>Total pe tara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'[MED060300reg_20230117-202811.xlsx]MED060300reg'!$H$4:$M$4</c:f>
              <c:strCache>
                <c:ptCount val="6"/>
                <c:pt idx="0">
                  <c:v>2016</c:v>
                </c:pt>
                <c:pt idx="1">
                  <c:v>2017</c:v>
                </c:pt>
                <c:pt idx="2">
                  <c:v>2018</c:v>
                </c:pt>
                <c:pt idx="3">
                  <c:v>2019</c:v>
                </c:pt>
                <c:pt idx="4">
                  <c:v>2020</c:v>
                </c:pt>
                <c:pt idx="5">
                  <c:v>2021</c:v>
                </c:pt>
              </c:strCache>
            </c:strRef>
          </c:cat>
          <c:val>
            <c:numRef>
              <c:f>'[MED060300reg_20230117-202811.xlsx]MED060300reg'!$B$5:$G$5</c:f>
              <c:numCache>
                <c:formatCode>0.0</c:formatCode>
                <c:ptCount val="6"/>
                <c:pt idx="0">
                  <c:v>2925</c:v>
                </c:pt>
                <c:pt idx="1">
                  <c:v>3095.8</c:v>
                </c:pt>
                <c:pt idx="2">
                  <c:v>2996.3</c:v>
                </c:pt>
                <c:pt idx="3">
                  <c:v>3204</c:v>
                </c:pt>
                <c:pt idx="4">
                  <c:v>3336.3</c:v>
                </c:pt>
                <c:pt idx="5">
                  <c:v>3311.4</c:v>
                </c:pt>
              </c:numCache>
            </c:numRef>
          </c:val>
          <c:extLst>
            <c:ext xmlns:c16="http://schemas.microsoft.com/office/drawing/2014/chart" uri="{C3380CC4-5D6E-409C-BE32-E72D297353CC}">
              <c16:uniqueId val="{00000000-D0D2-4FD2-812D-1393AA17AFC0}"/>
            </c:ext>
          </c:extLst>
        </c:ser>
        <c:ser>
          <c:idx val="1"/>
          <c:order val="1"/>
          <c:tx>
            <c:strRef>
              <c:f>'[MED060300reg_20230117-202811.xlsx]MED060300reg'!$A$6</c:f>
              <c:strCache>
                <c:ptCount val="1"/>
                <c:pt idx="0">
                  <c:v>Municipiul Chisinau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'[MED060300reg_20230117-202811.xlsx]MED060300reg'!$H$4:$M$4</c:f>
              <c:strCache>
                <c:ptCount val="6"/>
                <c:pt idx="0">
                  <c:v>2016</c:v>
                </c:pt>
                <c:pt idx="1">
                  <c:v>2017</c:v>
                </c:pt>
                <c:pt idx="2">
                  <c:v>2018</c:v>
                </c:pt>
                <c:pt idx="3">
                  <c:v>2019</c:v>
                </c:pt>
                <c:pt idx="4">
                  <c:v>2020</c:v>
                </c:pt>
                <c:pt idx="5">
                  <c:v>2021</c:v>
                </c:pt>
              </c:strCache>
            </c:strRef>
          </c:cat>
          <c:val>
            <c:numRef>
              <c:f>'[MED060300reg_20230117-202811.xlsx]MED060300reg'!$B$6:$G$6</c:f>
              <c:numCache>
                <c:formatCode>0.0</c:formatCode>
                <c:ptCount val="6"/>
                <c:pt idx="0">
                  <c:v>1795</c:v>
                </c:pt>
                <c:pt idx="1">
                  <c:v>1859.8</c:v>
                </c:pt>
                <c:pt idx="2">
                  <c:v>1904.7</c:v>
                </c:pt>
                <c:pt idx="3">
                  <c:v>1894.2</c:v>
                </c:pt>
                <c:pt idx="4">
                  <c:v>1945.2</c:v>
                </c:pt>
                <c:pt idx="5">
                  <c:v>1850</c:v>
                </c:pt>
              </c:numCache>
            </c:numRef>
          </c:val>
          <c:extLst>
            <c:ext xmlns:c16="http://schemas.microsoft.com/office/drawing/2014/chart" uri="{C3380CC4-5D6E-409C-BE32-E72D297353CC}">
              <c16:uniqueId val="{00000001-D0D2-4FD2-812D-1393AA17AFC0}"/>
            </c:ext>
          </c:extLst>
        </c:ser>
        <c:dLbls>
          <c:showLegendKey val="0"/>
          <c:showVal val="0"/>
          <c:showCatName val="0"/>
          <c:showSerName val="0"/>
          <c:showPercent val="0"/>
          <c:showBubbleSize val="0"/>
        </c:dLbls>
        <c:gapWidth val="219"/>
        <c:overlap val="-27"/>
        <c:axId val="-677651488"/>
        <c:axId val="-677659648"/>
      </c:barChart>
      <c:catAx>
        <c:axId val="-67765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77659648"/>
        <c:crosses val="autoZero"/>
        <c:auto val="1"/>
        <c:lblAlgn val="ctr"/>
        <c:lblOffset val="100"/>
        <c:noMultiLvlLbl val="0"/>
      </c:catAx>
      <c:valAx>
        <c:axId val="-677659648"/>
        <c:scaling>
          <c:orientation val="minMax"/>
        </c:scaling>
        <c:delete val="1"/>
        <c:axPos val="l"/>
        <c:numFmt formatCode="0.0" sourceLinked="1"/>
        <c:majorTickMark val="none"/>
        <c:minorTickMark val="none"/>
        <c:tickLblPos val="nextTo"/>
        <c:crossAx val="-67765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MD" sz="900">
                <a:latin typeface="Times New Roman" panose="02020603050405020304" pitchFamily="18" charset="0"/>
                <a:cs typeface="Times New Roman" panose="02020603050405020304" pitchFamily="18" charset="0"/>
              </a:rPr>
              <a:t>Deseuri municipale colectate de la populatie, mii metri cubi</a:t>
            </a:r>
            <a:endParaRPr lang="ru-RU" sz="900">
              <a:latin typeface="Times New Roman" panose="02020603050405020304" pitchFamily="18" charset="0"/>
              <a:cs typeface="Times New Roman" panose="02020603050405020304" pitchFamily="18" charset="0"/>
            </a:endParaRPr>
          </a:p>
        </c:rich>
      </c:tx>
      <c:layout>
        <c:manualLayout>
          <c:xMode val="edge"/>
          <c:yMode val="edge"/>
          <c:x val="0.13165988240615106"/>
          <c:y val="2.777777777777777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'[MED060300reg_20230117-202811.xlsx]MED060300reg'!$A$5</c:f>
              <c:strCache>
                <c:ptCount val="1"/>
                <c:pt idx="0">
                  <c:v>Total pe tara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'[MED060300reg_20230117-202811.xlsx]MED060300reg'!$H$4:$M$4</c:f>
              <c:strCache>
                <c:ptCount val="6"/>
                <c:pt idx="0">
                  <c:v>2016</c:v>
                </c:pt>
                <c:pt idx="1">
                  <c:v>2017</c:v>
                </c:pt>
                <c:pt idx="2">
                  <c:v>2018</c:v>
                </c:pt>
                <c:pt idx="3">
                  <c:v>2019</c:v>
                </c:pt>
                <c:pt idx="4">
                  <c:v>2020</c:v>
                </c:pt>
                <c:pt idx="5">
                  <c:v>2021</c:v>
                </c:pt>
              </c:strCache>
            </c:strRef>
          </c:cat>
          <c:val>
            <c:numRef>
              <c:f>'[MED060300reg_20230117-202811.xlsx]MED060300reg'!$H$5:$M$5</c:f>
              <c:numCache>
                <c:formatCode>0.0</c:formatCode>
                <c:ptCount val="6"/>
                <c:pt idx="0">
                  <c:v>2042.4</c:v>
                </c:pt>
                <c:pt idx="1">
                  <c:v>2104.9</c:v>
                </c:pt>
                <c:pt idx="2">
                  <c:v>2012.6</c:v>
                </c:pt>
                <c:pt idx="3">
                  <c:v>2102.9</c:v>
                </c:pt>
                <c:pt idx="4">
                  <c:v>2217.5</c:v>
                </c:pt>
                <c:pt idx="5">
                  <c:v>2188.6999999999998</c:v>
                </c:pt>
              </c:numCache>
            </c:numRef>
          </c:val>
          <c:extLst>
            <c:ext xmlns:c16="http://schemas.microsoft.com/office/drawing/2014/chart" uri="{C3380CC4-5D6E-409C-BE32-E72D297353CC}">
              <c16:uniqueId val="{00000000-987E-4615-8414-B1F10DF4605B}"/>
            </c:ext>
          </c:extLst>
        </c:ser>
        <c:ser>
          <c:idx val="1"/>
          <c:order val="1"/>
          <c:tx>
            <c:strRef>
              <c:f>'[MED060300reg_20230117-202811.xlsx]MED060300reg'!$A$6</c:f>
              <c:strCache>
                <c:ptCount val="1"/>
                <c:pt idx="0">
                  <c:v>Municipiul Chisinau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'[MED060300reg_20230117-202811.xlsx]MED060300reg'!$H$4:$M$4</c:f>
              <c:strCache>
                <c:ptCount val="6"/>
                <c:pt idx="0">
                  <c:v>2016</c:v>
                </c:pt>
                <c:pt idx="1">
                  <c:v>2017</c:v>
                </c:pt>
                <c:pt idx="2">
                  <c:v>2018</c:v>
                </c:pt>
                <c:pt idx="3">
                  <c:v>2019</c:v>
                </c:pt>
                <c:pt idx="4">
                  <c:v>2020</c:v>
                </c:pt>
                <c:pt idx="5">
                  <c:v>2021</c:v>
                </c:pt>
              </c:strCache>
            </c:strRef>
          </c:cat>
          <c:val>
            <c:numRef>
              <c:f>'[MED060300reg_20230117-202811.xlsx]MED060300reg'!$H$6:$M$6</c:f>
              <c:numCache>
                <c:formatCode>0.0</c:formatCode>
                <c:ptCount val="6"/>
                <c:pt idx="0">
                  <c:v>1197.5</c:v>
                </c:pt>
                <c:pt idx="1">
                  <c:v>1230.5</c:v>
                </c:pt>
                <c:pt idx="2">
                  <c:v>1275</c:v>
                </c:pt>
                <c:pt idx="3">
                  <c:v>1229.7</c:v>
                </c:pt>
                <c:pt idx="4">
                  <c:v>1289.9000000000001</c:v>
                </c:pt>
                <c:pt idx="5">
                  <c:v>1201.9000000000001</c:v>
                </c:pt>
              </c:numCache>
            </c:numRef>
          </c:val>
          <c:extLst>
            <c:ext xmlns:c16="http://schemas.microsoft.com/office/drawing/2014/chart" uri="{C3380CC4-5D6E-409C-BE32-E72D297353CC}">
              <c16:uniqueId val="{00000001-987E-4615-8414-B1F10DF4605B}"/>
            </c:ext>
          </c:extLst>
        </c:ser>
        <c:dLbls>
          <c:showLegendKey val="0"/>
          <c:showVal val="0"/>
          <c:showCatName val="0"/>
          <c:showSerName val="0"/>
          <c:showPercent val="0"/>
          <c:showBubbleSize val="0"/>
        </c:dLbls>
        <c:gapWidth val="219"/>
        <c:overlap val="-27"/>
        <c:axId val="-677652576"/>
        <c:axId val="-677665632"/>
      </c:barChart>
      <c:catAx>
        <c:axId val="-67765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7665632"/>
        <c:crosses val="autoZero"/>
        <c:auto val="1"/>
        <c:lblAlgn val="ctr"/>
        <c:lblOffset val="100"/>
        <c:noMultiLvlLbl val="0"/>
      </c:catAx>
      <c:valAx>
        <c:axId val="-677665632"/>
        <c:scaling>
          <c:orientation val="minMax"/>
        </c:scaling>
        <c:delete val="1"/>
        <c:axPos val="l"/>
        <c:numFmt formatCode="0.0" sourceLinked="1"/>
        <c:majorTickMark val="none"/>
        <c:minorTickMark val="none"/>
        <c:tickLblPos val="nextTo"/>
        <c:crossAx val="-67765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3175">
          <a:solidFill>
            <a:srgbClr val="FFFFFF"/>
          </a:solidFill>
          <a:prstDash val="solid"/>
        </a:ln>
      </c:spPr>
    </c:floor>
    <c:sideWall>
      <c:thickness val="0"/>
    </c:sideWall>
    <c:backWall>
      <c:thickness val="0"/>
    </c:backWall>
    <c:plotArea>
      <c:layout>
        <c:manualLayout>
          <c:layoutTarget val="inner"/>
          <c:xMode val="edge"/>
          <c:yMode val="edge"/>
          <c:x val="8.984869277127161E-2"/>
          <c:y val="2.3628660588992149E-2"/>
          <c:w val="0.89774295979500029"/>
          <c:h val="0.79305759580280499"/>
        </c:manualLayout>
      </c:layout>
      <c:bar3DChart>
        <c:barDir val="col"/>
        <c:grouping val="stacked"/>
        <c:varyColors val="0"/>
        <c:ser>
          <c:idx val="0"/>
          <c:order val="0"/>
          <c:tx>
            <c:strRef>
              <c:f>Composition!$C$3</c:f>
              <c:strCache>
                <c:ptCount val="1"/>
                <c:pt idx="0">
                  <c:v>Resturi alimentare</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Composition!$D$3:$M$3</c:f>
              <c:numCache>
                <c:formatCode>0.00</c:formatCode>
                <c:ptCount val="10"/>
                <c:pt idx="0">
                  <c:v>37.5</c:v>
                </c:pt>
                <c:pt idx="1">
                  <c:v>35</c:v>
                </c:pt>
                <c:pt idx="2">
                  <c:v>45.6</c:v>
                </c:pt>
                <c:pt idx="3">
                  <c:v>53.5</c:v>
                </c:pt>
                <c:pt idx="4">
                  <c:v>44.9</c:v>
                </c:pt>
                <c:pt idx="5">
                  <c:v>56.5</c:v>
                </c:pt>
                <c:pt idx="6">
                  <c:v>56.1</c:v>
                </c:pt>
                <c:pt idx="7">
                  <c:v>46.06</c:v>
                </c:pt>
                <c:pt idx="8">
                  <c:v>29.73</c:v>
                </c:pt>
                <c:pt idx="9">
                  <c:v>30.909888669948966</c:v>
                </c:pt>
              </c:numCache>
            </c:numRef>
          </c:val>
          <c:extLst>
            <c:ext xmlns:c16="http://schemas.microsoft.com/office/drawing/2014/chart" uri="{C3380CC4-5D6E-409C-BE32-E72D297353CC}">
              <c16:uniqueId val="{00000000-7C74-4E41-92CE-3DF678435436}"/>
            </c:ext>
          </c:extLst>
        </c:ser>
        <c:ser>
          <c:idx val="1"/>
          <c:order val="1"/>
          <c:tx>
            <c:strRef>
              <c:f>Composition!$C$4</c:f>
              <c:strCache>
                <c:ptCount val="1"/>
                <c:pt idx="0">
                  <c:v>Hârtie, carton</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Composition!$D$4:$M$4</c:f>
              <c:numCache>
                <c:formatCode>0.00</c:formatCode>
                <c:ptCount val="10"/>
                <c:pt idx="0">
                  <c:v>26.5</c:v>
                </c:pt>
                <c:pt idx="1">
                  <c:v>25</c:v>
                </c:pt>
                <c:pt idx="2">
                  <c:v>15</c:v>
                </c:pt>
                <c:pt idx="3">
                  <c:v>4.8</c:v>
                </c:pt>
                <c:pt idx="4">
                  <c:v>5.8</c:v>
                </c:pt>
                <c:pt idx="5">
                  <c:v>6.2</c:v>
                </c:pt>
                <c:pt idx="6">
                  <c:v>7</c:v>
                </c:pt>
                <c:pt idx="7">
                  <c:v>5.28</c:v>
                </c:pt>
                <c:pt idx="8">
                  <c:v>10.1</c:v>
                </c:pt>
                <c:pt idx="9">
                  <c:v>6.998116382849191</c:v>
                </c:pt>
              </c:numCache>
            </c:numRef>
          </c:val>
          <c:extLst>
            <c:ext xmlns:c16="http://schemas.microsoft.com/office/drawing/2014/chart" uri="{C3380CC4-5D6E-409C-BE32-E72D297353CC}">
              <c16:uniqueId val="{00000001-7C74-4E41-92CE-3DF678435436}"/>
            </c:ext>
          </c:extLst>
        </c:ser>
        <c:ser>
          <c:idx val="2"/>
          <c:order val="2"/>
          <c:tx>
            <c:strRef>
              <c:f>Composition!$C$5</c:f>
              <c:strCache>
                <c:ptCount val="1"/>
                <c:pt idx="0">
                  <c:v>Plastic</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Composition!$D$5:$M$5</c:f>
              <c:numCache>
                <c:formatCode>0.00</c:formatCode>
                <c:ptCount val="10"/>
                <c:pt idx="0">
                  <c:v>1.8</c:v>
                </c:pt>
                <c:pt idx="1">
                  <c:v>5</c:v>
                </c:pt>
                <c:pt idx="2">
                  <c:v>6.2</c:v>
                </c:pt>
                <c:pt idx="3">
                  <c:v>8.1</c:v>
                </c:pt>
                <c:pt idx="4">
                  <c:v>6.3</c:v>
                </c:pt>
                <c:pt idx="5">
                  <c:v>4.5999999999999996</c:v>
                </c:pt>
                <c:pt idx="6">
                  <c:v>12.1</c:v>
                </c:pt>
                <c:pt idx="7">
                  <c:v>4.66</c:v>
                </c:pt>
                <c:pt idx="8">
                  <c:v>11.33</c:v>
                </c:pt>
                <c:pt idx="9">
                  <c:v>10.304221177421049</c:v>
                </c:pt>
              </c:numCache>
            </c:numRef>
          </c:val>
          <c:extLst>
            <c:ext xmlns:c16="http://schemas.microsoft.com/office/drawing/2014/chart" uri="{C3380CC4-5D6E-409C-BE32-E72D297353CC}">
              <c16:uniqueId val="{00000002-7C74-4E41-92CE-3DF678435436}"/>
            </c:ext>
          </c:extLst>
        </c:ser>
        <c:ser>
          <c:idx val="3"/>
          <c:order val="3"/>
          <c:tx>
            <c:strRef>
              <c:f>Composition!$C$6</c:f>
              <c:strCache>
                <c:ptCount val="1"/>
                <c:pt idx="0">
                  <c:v>Textile</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Composition!$D$6:$M$6</c:f>
              <c:numCache>
                <c:formatCode>0.00</c:formatCode>
                <c:ptCount val="10"/>
                <c:pt idx="0">
                  <c:v>5.5</c:v>
                </c:pt>
                <c:pt idx="1">
                  <c:v>5</c:v>
                </c:pt>
                <c:pt idx="2">
                  <c:v>2.9</c:v>
                </c:pt>
                <c:pt idx="3">
                  <c:v>0.6</c:v>
                </c:pt>
                <c:pt idx="4">
                  <c:v>1.9</c:v>
                </c:pt>
                <c:pt idx="5">
                  <c:v>1.3</c:v>
                </c:pt>
                <c:pt idx="6">
                  <c:v>4.7</c:v>
                </c:pt>
                <c:pt idx="7">
                  <c:v>2.59</c:v>
                </c:pt>
                <c:pt idx="8">
                  <c:v>1.5</c:v>
                </c:pt>
                <c:pt idx="9">
                  <c:v>2.3820901910673666</c:v>
                </c:pt>
              </c:numCache>
            </c:numRef>
          </c:val>
          <c:extLst>
            <c:ext xmlns:c16="http://schemas.microsoft.com/office/drawing/2014/chart" uri="{C3380CC4-5D6E-409C-BE32-E72D297353CC}">
              <c16:uniqueId val="{00000003-7C74-4E41-92CE-3DF678435436}"/>
            </c:ext>
          </c:extLst>
        </c:ser>
        <c:ser>
          <c:idx val="4"/>
          <c:order val="4"/>
          <c:tx>
            <c:strRef>
              <c:f>Composition!$C$7</c:f>
              <c:strCache>
                <c:ptCount val="1"/>
                <c:pt idx="0">
                  <c:v>Piele</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Composition!$D$7:$M$7</c:f>
              <c:numCache>
                <c:formatCode>0.00</c:formatCode>
                <c:ptCount val="10"/>
                <c:pt idx="0">
                  <c:v>2</c:v>
                </c:pt>
                <c:pt idx="1">
                  <c:v>3</c:v>
                </c:pt>
                <c:pt idx="2">
                  <c:v>2</c:v>
                </c:pt>
                <c:pt idx="3">
                  <c:v>1</c:v>
                </c:pt>
                <c:pt idx="4">
                  <c:v>0.6</c:v>
                </c:pt>
                <c:pt idx="5">
                  <c:v>0.7</c:v>
                </c:pt>
                <c:pt idx="6">
                  <c:v>1.1000000000000001</c:v>
                </c:pt>
                <c:pt idx="7">
                  <c:v>0.35</c:v>
                </c:pt>
                <c:pt idx="8">
                  <c:v>0.4</c:v>
                </c:pt>
                <c:pt idx="9">
                  <c:v>0.1</c:v>
                </c:pt>
              </c:numCache>
            </c:numRef>
          </c:val>
          <c:extLst>
            <c:ext xmlns:c16="http://schemas.microsoft.com/office/drawing/2014/chart" uri="{C3380CC4-5D6E-409C-BE32-E72D297353CC}">
              <c16:uniqueId val="{00000004-7C74-4E41-92CE-3DF678435436}"/>
            </c:ext>
          </c:extLst>
        </c:ser>
        <c:ser>
          <c:idx val="5"/>
          <c:order val="5"/>
          <c:tx>
            <c:strRef>
              <c:f>Composition!$C$8</c:f>
              <c:strCache>
                <c:ptCount val="1"/>
                <c:pt idx="0">
                  <c:v>Deşeuri fitotehnice</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Composition!$D$8:$M$8</c:f>
              <c:numCache>
                <c:formatCode>General</c:formatCode>
                <c:ptCount val="10"/>
                <c:pt idx="6" formatCode="0.00">
                  <c:v>1.7</c:v>
                </c:pt>
                <c:pt idx="7" formatCode="0.00">
                  <c:v>10.77</c:v>
                </c:pt>
                <c:pt idx="8" formatCode="0.00">
                  <c:v>15.87</c:v>
                </c:pt>
                <c:pt idx="9" formatCode="0.00">
                  <c:v>20.191857512576696</c:v>
                </c:pt>
              </c:numCache>
            </c:numRef>
          </c:val>
          <c:extLst>
            <c:ext xmlns:c16="http://schemas.microsoft.com/office/drawing/2014/chart" uri="{C3380CC4-5D6E-409C-BE32-E72D297353CC}">
              <c16:uniqueId val="{00000005-7C74-4E41-92CE-3DF678435436}"/>
            </c:ext>
          </c:extLst>
        </c:ser>
        <c:ser>
          <c:idx val="6"/>
          <c:order val="6"/>
          <c:tx>
            <c:strRef>
              <c:f>Composition!$C$9</c:f>
              <c:strCache>
                <c:ptCount val="1"/>
                <c:pt idx="0">
                  <c:v>Lemn </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Composition!$D$9:$M$9</c:f>
              <c:numCache>
                <c:formatCode>0.00</c:formatCode>
                <c:ptCount val="10"/>
                <c:pt idx="0">
                  <c:v>5.5</c:v>
                </c:pt>
                <c:pt idx="1">
                  <c:v>3</c:v>
                </c:pt>
                <c:pt idx="2">
                  <c:v>2.1</c:v>
                </c:pt>
                <c:pt idx="3">
                  <c:v>1</c:v>
                </c:pt>
                <c:pt idx="4">
                  <c:v>0.8</c:v>
                </c:pt>
                <c:pt idx="5">
                  <c:v>1.1000000000000001</c:v>
                </c:pt>
                <c:pt idx="6">
                  <c:v>1.8</c:v>
                </c:pt>
                <c:pt idx="7">
                  <c:v>1.76</c:v>
                </c:pt>
                <c:pt idx="8">
                  <c:v>1.3</c:v>
                </c:pt>
                <c:pt idx="9">
                  <c:v>2.727584188245076E-2</c:v>
                </c:pt>
              </c:numCache>
            </c:numRef>
          </c:val>
          <c:extLst>
            <c:ext xmlns:c16="http://schemas.microsoft.com/office/drawing/2014/chart" uri="{C3380CC4-5D6E-409C-BE32-E72D297353CC}">
              <c16:uniqueId val="{00000006-7C74-4E41-92CE-3DF678435436}"/>
            </c:ext>
          </c:extLst>
        </c:ser>
        <c:ser>
          <c:idx val="7"/>
          <c:order val="7"/>
          <c:tx>
            <c:strRef>
              <c:f>Composition!$C$10</c:f>
              <c:strCache>
                <c:ptCount val="1"/>
                <c:pt idx="0">
                  <c:v>Alte deşeuri</c:v>
                </c:pt>
              </c:strCache>
            </c:strRef>
          </c:tx>
          <c:invertIfNegative val="0"/>
          <c:cat>
            <c:numRef>
              <c:f>Composition!$D$2:$M$2</c:f>
              <c:numCache>
                <c:formatCode>General</c:formatCode>
                <c:ptCount val="10"/>
                <c:pt idx="0">
                  <c:v>1986</c:v>
                </c:pt>
                <c:pt idx="1">
                  <c:v>1993</c:v>
                </c:pt>
                <c:pt idx="2">
                  <c:v>1996</c:v>
                </c:pt>
                <c:pt idx="3">
                  <c:v>1999</c:v>
                </c:pt>
                <c:pt idx="4">
                  <c:v>2001</c:v>
                </c:pt>
                <c:pt idx="5">
                  <c:v>2003</c:v>
                </c:pt>
                <c:pt idx="6">
                  <c:v>2005</c:v>
                </c:pt>
                <c:pt idx="7">
                  <c:v>2012</c:v>
                </c:pt>
                <c:pt idx="8">
                  <c:v>2016</c:v>
                </c:pt>
                <c:pt idx="9">
                  <c:v>2023</c:v>
                </c:pt>
              </c:numCache>
            </c:numRef>
          </c:cat>
          <c:val>
            <c:numRef>
              <c:f>Composition!$D$10:$M$10</c:f>
              <c:numCache>
                <c:formatCode>0.00</c:formatCode>
                <c:ptCount val="10"/>
                <c:pt idx="0">
                  <c:v>21.2</c:v>
                </c:pt>
                <c:pt idx="1">
                  <c:v>24</c:v>
                </c:pt>
                <c:pt idx="2">
                  <c:v>26.2</c:v>
                </c:pt>
                <c:pt idx="3">
                  <c:v>31</c:v>
                </c:pt>
                <c:pt idx="4">
                  <c:v>39.700000000000003</c:v>
                </c:pt>
                <c:pt idx="5">
                  <c:v>29.6</c:v>
                </c:pt>
                <c:pt idx="6">
                  <c:v>15.5</c:v>
                </c:pt>
                <c:pt idx="7">
                  <c:v>28.53</c:v>
                </c:pt>
                <c:pt idx="8">
                  <c:v>29.77</c:v>
                </c:pt>
                <c:pt idx="9">
                  <c:v>29.09</c:v>
                </c:pt>
              </c:numCache>
            </c:numRef>
          </c:val>
          <c:extLst>
            <c:ext xmlns:c16="http://schemas.microsoft.com/office/drawing/2014/chart" uri="{C3380CC4-5D6E-409C-BE32-E72D297353CC}">
              <c16:uniqueId val="{00000007-7C74-4E41-92CE-3DF678435436}"/>
            </c:ext>
          </c:extLst>
        </c:ser>
        <c:dLbls>
          <c:showLegendKey val="0"/>
          <c:showVal val="0"/>
          <c:showCatName val="0"/>
          <c:showSerName val="0"/>
          <c:showPercent val="0"/>
          <c:showBubbleSize val="0"/>
        </c:dLbls>
        <c:gapWidth val="150"/>
        <c:shape val="cylinder"/>
        <c:axId val="1054708399"/>
        <c:axId val="1"/>
        <c:axId val="0"/>
      </c:bar3DChart>
      <c:catAx>
        <c:axId val="1054708399"/>
        <c:scaling>
          <c:orientation val="minMax"/>
        </c:scaling>
        <c:delete val="0"/>
        <c:axPos val="b"/>
        <c:numFmt formatCode="General" sourceLinked="1"/>
        <c:majorTickMark val="out"/>
        <c:minorTickMark val="none"/>
        <c:tickLblPos val="nextTo"/>
        <c:spPr>
          <a:ln w="3175">
            <a:solidFill>
              <a:srgbClr val="FFFFFF"/>
            </a:solidFill>
            <a:prstDash val="solid"/>
          </a:ln>
        </c:spPr>
        <c:txPr>
          <a:bodyPr rot="0" vert="horz"/>
          <a:lstStyle/>
          <a:p>
            <a:pPr>
              <a:defRPr sz="700" b="0" i="0" u="none" strike="noStrike" baseline="0">
                <a:solidFill>
                  <a:srgbClr val="000000"/>
                </a:solidFill>
                <a:latin typeface="Calibri"/>
                <a:ea typeface="Calibri"/>
                <a:cs typeface="Calibri"/>
              </a:defRPr>
            </a:pPr>
            <a:endParaRPr lang="ru-RU"/>
          </a:p>
        </c:txPr>
        <c:crossAx val="1"/>
        <c:crosses val="autoZero"/>
        <c:auto val="1"/>
        <c:lblAlgn val="ctr"/>
        <c:lblOffset val="100"/>
        <c:noMultiLvlLbl val="0"/>
      </c:catAx>
      <c:valAx>
        <c:axId val="1"/>
        <c:scaling>
          <c:orientation val="minMax"/>
        </c:scaling>
        <c:delete val="0"/>
        <c:axPos val="l"/>
        <c:majorGridlines>
          <c:spPr>
            <a:ln w="3175">
              <a:solidFill>
                <a:srgbClr val="FFFFFF"/>
              </a:solidFill>
              <a:prstDash val="solid"/>
            </a:ln>
          </c:spPr>
        </c:majorGridlines>
        <c:title>
          <c:tx>
            <c:rich>
              <a:bodyPr rot="0" vert="horz"/>
              <a:lstStyle/>
              <a:p>
                <a:pPr algn="ctr">
                  <a:defRPr sz="700" b="0" i="0" u="none" strike="noStrike" baseline="0">
                    <a:solidFill>
                      <a:srgbClr val="000000"/>
                    </a:solidFill>
                    <a:latin typeface="Calibri"/>
                    <a:ea typeface="Calibri"/>
                    <a:cs typeface="Calibri"/>
                  </a:defRPr>
                </a:pPr>
                <a:r>
                  <a:rPr lang="ro-RO" sz="700" b="0"/>
                  <a:t>%</a:t>
                </a:r>
              </a:p>
            </c:rich>
          </c:tx>
          <c:layout>
            <c:manualLayout>
              <c:xMode val="edge"/>
              <c:yMode val="edge"/>
              <c:x val="5.1049030213076399E-2"/>
              <c:y val="0.38868734000842486"/>
            </c:manualLayout>
          </c:layout>
          <c:overlay val="0"/>
        </c:title>
        <c:numFmt formatCode="0.0" sourceLinked="0"/>
        <c:majorTickMark val="out"/>
        <c:minorTickMark val="none"/>
        <c:tickLblPos val="nextTo"/>
        <c:spPr>
          <a:ln w="3175">
            <a:solidFill>
              <a:srgbClr val="FFFFFF"/>
            </a:solidFill>
            <a:prstDash val="solid"/>
          </a:ln>
        </c:spPr>
        <c:txPr>
          <a:bodyPr rot="0" vert="horz"/>
          <a:lstStyle/>
          <a:p>
            <a:pPr>
              <a:defRPr sz="700" b="0" i="0" u="none" strike="noStrike" baseline="0">
                <a:solidFill>
                  <a:srgbClr val="000000"/>
                </a:solidFill>
                <a:latin typeface="Calibri"/>
                <a:ea typeface="Calibri"/>
                <a:cs typeface="Calibri"/>
              </a:defRPr>
            </a:pPr>
            <a:endParaRPr lang="ru-RU"/>
          </a:p>
        </c:txPr>
        <c:crossAx val="1054708399"/>
        <c:crosses val="autoZero"/>
        <c:crossBetween val="between"/>
        <c:majorUnit val="10"/>
      </c:valAx>
      <c:spPr>
        <a:noFill/>
        <a:ln w="25400">
          <a:noFill/>
        </a:ln>
      </c:spPr>
    </c:plotArea>
    <c:legend>
      <c:legendPos val="b"/>
      <c:layout>
        <c:manualLayout>
          <c:xMode val="edge"/>
          <c:yMode val="edge"/>
          <c:x val="5.0601904959395622E-2"/>
          <c:y val="0.9447864532755591"/>
          <c:w val="0.90954780015998404"/>
          <c:h val="3.8390728032009831E-2"/>
        </c:manualLayout>
      </c:layout>
      <c:overlay val="0"/>
      <c:txPr>
        <a:bodyPr/>
        <a:lstStyle/>
        <a:p>
          <a:pPr>
            <a:defRPr sz="800" b="0" i="0" u="none" strike="noStrike" baseline="0">
              <a:solidFill>
                <a:srgbClr val="000000"/>
              </a:solidFill>
              <a:latin typeface="Calibri"/>
              <a:ea typeface="Calibri"/>
              <a:cs typeface="Calibri"/>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Sheet2!$G$6</c:f>
              <c:strCache>
                <c:ptCount val="1"/>
                <c:pt idx="0">
                  <c:v>220110 Ape minerale și ape gazeificate</c:v>
                </c:pt>
              </c:strCache>
            </c:strRef>
          </c:tx>
          <c:spPr>
            <a:solidFill>
              <a:schemeClr val="accent1"/>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Sheet2!$I$6:$M$6</c:f>
              <c:numCache>
                <c:formatCode>General</c:formatCode>
                <c:ptCount val="5"/>
                <c:pt idx="0">
                  <c:v>19089681</c:v>
                </c:pt>
                <c:pt idx="1">
                  <c:v>22496100</c:v>
                </c:pt>
                <c:pt idx="2">
                  <c:v>19795361</c:v>
                </c:pt>
                <c:pt idx="3">
                  <c:v>23589125</c:v>
                </c:pt>
                <c:pt idx="4">
                  <c:v>28611432</c:v>
                </c:pt>
              </c:numCache>
            </c:numRef>
          </c:val>
          <c:extLst>
            <c:ext xmlns:c16="http://schemas.microsoft.com/office/drawing/2014/chart" uri="{C3380CC4-5D6E-409C-BE32-E72D297353CC}">
              <c16:uniqueId val="{00000000-B1AF-41DD-B7E5-C4881C82C663}"/>
            </c:ext>
          </c:extLst>
        </c:ser>
        <c:ser>
          <c:idx val="1"/>
          <c:order val="1"/>
          <c:tx>
            <c:strRef>
              <c:f>Sheet2!$G$7</c:f>
              <c:strCache>
                <c:ptCount val="1"/>
                <c:pt idx="0">
                  <c:v> 220210 Ape, inclusiv ape minerale și ape gazeificate, care conțin zahăr sau alți îndulcitori sau aromatizate</c:v>
                </c:pt>
              </c:strCache>
            </c:strRef>
          </c:tx>
          <c:spPr>
            <a:solidFill>
              <a:schemeClr val="accent2"/>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Sheet2!$I$7:$M$7</c:f>
              <c:numCache>
                <c:formatCode>General</c:formatCode>
                <c:ptCount val="5"/>
                <c:pt idx="0">
                  <c:v>39092953</c:v>
                </c:pt>
                <c:pt idx="1">
                  <c:v>43136786</c:v>
                </c:pt>
                <c:pt idx="2">
                  <c:v>45608519</c:v>
                </c:pt>
                <c:pt idx="3">
                  <c:v>62186076</c:v>
                </c:pt>
                <c:pt idx="4">
                  <c:v>60938758</c:v>
                </c:pt>
              </c:numCache>
            </c:numRef>
          </c:val>
          <c:extLst>
            <c:ext xmlns:c16="http://schemas.microsoft.com/office/drawing/2014/chart" uri="{C3380CC4-5D6E-409C-BE32-E72D297353CC}">
              <c16:uniqueId val="{00000001-B1AF-41DD-B7E5-C4881C82C663}"/>
            </c:ext>
          </c:extLst>
        </c:ser>
        <c:ser>
          <c:idx val="2"/>
          <c:order val="2"/>
          <c:tx>
            <c:strRef>
              <c:f>Sheet2!$G$8</c:f>
              <c:strCache>
                <c:ptCount val="1"/>
                <c:pt idx="0">
                  <c:v>220291 Bere fără alcool</c:v>
                </c:pt>
              </c:strCache>
            </c:strRef>
          </c:tx>
          <c:spPr>
            <a:solidFill>
              <a:schemeClr val="accent3"/>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Sheet2!$I$8:$M$8</c:f>
              <c:numCache>
                <c:formatCode>General</c:formatCode>
                <c:ptCount val="5"/>
                <c:pt idx="2">
                  <c:v>672669</c:v>
                </c:pt>
                <c:pt idx="3">
                  <c:v>911689</c:v>
                </c:pt>
                <c:pt idx="4">
                  <c:v>851922</c:v>
                </c:pt>
              </c:numCache>
            </c:numRef>
          </c:val>
          <c:extLst>
            <c:ext xmlns:c16="http://schemas.microsoft.com/office/drawing/2014/chart" uri="{C3380CC4-5D6E-409C-BE32-E72D297353CC}">
              <c16:uniqueId val="{00000002-B1AF-41DD-B7E5-C4881C82C663}"/>
            </c:ext>
          </c:extLst>
        </c:ser>
        <c:ser>
          <c:idx val="3"/>
          <c:order val="3"/>
          <c:tx>
            <c:strRef>
              <c:f>Sheet2!$G$9</c:f>
              <c:strCache>
                <c:ptCount val="1"/>
                <c:pt idx="0">
                  <c:v> 220299 Altă apă</c:v>
                </c:pt>
              </c:strCache>
            </c:strRef>
          </c:tx>
          <c:spPr>
            <a:solidFill>
              <a:schemeClr val="accent4"/>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Sheet2!$I$9:$M$9</c:f>
              <c:numCache>
                <c:formatCode>General</c:formatCode>
                <c:ptCount val="5"/>
                <c:pt idx="2">
                  <c:v>7065088</c:v>
                </c:pt>
                <c:pt idx="3">
                  <c:v>9140506</c:v>
                </c:pt>
                <c:pt idx="4">
                  <c:v>7516884</c:v>
                </c:pt>
              </c:numCache>
            </c:numRef>
          </c:val>
          <c:extLst>
            <c:ext xmlns:c16="http://schemas.microsoft.com/office/drawing/2014/chart" uri="{C3380CC4-5D6E-409C-BE32-E72D297353CC}">
              <c16:uniqueId val="{00000003-B1AF-41DD-B7E5-C4881C82C663}"/>
            </c:ext>
          </c:extLst>
        </c:ser>
        <c:ser>
          <c:idx val="4"/>
          <c:order val="4"/>
          <c:tx>
            <c:strRef>
              <c:f>Sheet2!$G$10</c:f>
              <c:strCache>
                <c:ptCount val="1"/>
                <c:pt idx="0">
                  <c:v>220300 Bere fabricată din malț</c:v>
                </c:pt>
              </c:strCache>
            </c:strRef>
          </c:tx>
          <c:spPr>
            <a:solidFill>
              <a:schemeClr val="accent5"/>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Sheet2!$I$10:$M$10</c:f>
              <c:numCache>
                <c:formatCode>General</c:formatCode>
                <c:ptCount val="5"/>
                <c:pt idx="0">
                  <c:v>30950595</c:v>
                </c:pt>
                <c:pt idx="1">
                  <c:v>28638546</c:v>
                </c:pt>
                <c:pt idx="2">
                  <c:v>28819971</c:v>
                </c:pt>
                <c:pt idx="3">
                  <c:v>32464336</c:v>
                </c:pt>
                <c:pt idx="4">
                  <c:v>27096877</c:v>
                </c:pt>
              </c:numCache>
            </c:numRef>
          </c:val>
          <c:extLst>
            <c:ext xmlns:c16="http://schemas.microsoft.com/office/drawing/2014/chart" uri="{C3380CC4-5D6E-409C-BE32-E72D297353CC}">
              <c16:uniqueId val="{00000004-B1AF-41DD-B7E5-C4881C82C663}"/>
            </c:ext>
          </c:extLst>
        </c:ser>
        <c:ser>
          <c:idx val="5"/>
          <c:order val="5"/>
          <c:tx>
            <c:strRef>
              <c:f>Sheet2!$G$11</c:f>
              <c:strCache>
                <c:ptCount val="1"/>
                <c:pt idx="0">
                  <c:v>220410 Vinuri spumante:</c:v>
                </c:pt>
              </c:strCache>
            </c:strRef>
          </c:tx>
          <c:spPr>
            <a:solidFill>
              <a:schemeClr val="accent6"/>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Sheet2!$I$11:$M$11</c:f>
              <c:numCache>
                <c:formatCode>General</c:formatCode>
                <c:ptCount val="5"/>
                <c:pt idx="0">
                  <c:v>147156</c:v>
                </c:pt>
                <c:pt idx="1">
                  <c:v>253691</c:v>
                </c:pt>
                <c:pt idx="2">
                  <c:v>158111</c:v>
                </c:pt>
                <c:pt idx="3">
                  <c:v>291318</c:v>
                </c:pt>
                <c:pt idx="4">
                  <c:v>468171</c:v>
                </c:pt>
              </c:numCache>
            </c:numRef>
          </c:val>
          <c:extLst>
            <c:ext xmlns:c16="http://schemas.microsoft.com/office/drawing/2014/chart" uri="{C3380CC4-5D6E-409C-BE32-E72D297353CC}">
              <c16:uniqueId val="{00000005-B1AF-41DD-B7E5-C4881C82C663}"/>
            </c:ext>
          </c:extLst>
        </c:ser>
        <c:ser>
          <c:idx val="6"/>
          <c:order val="6"/>
          <c:tx>
            <c:strRef>
              <c:f>Sheet2!$G$12</c:f>
              <c:strCache>
                <c:ptCount val="1"/>
                <c:pt idx="0">
                  <c:v>220421 Alte vinuri</c:v>
                </c:pt>
              </c:strCache>
            </c:strRef>
          </c:tx>
          <c:spPr>
            <a:solidFill>
              <a:schemeClr val="accent1">
                <a:lumMod val="60000"/>
              </a:schemeClr>
            </a:solidFill>
            <a:ln>
              <a:noFill/>
            </a:ln>
            <a:effectLst/>
            <a:sp3d/>
          </c:spPr>
          <c:invertIfNegative val="0"/>
          <c:cat>
            <c:numRef>
              <c:f>Sheet2!$I$5:$M$5</c:f>
              <c:numCache>
                <c:formatCode>General</c:formatCode>
                <c:ptCount val="5"/>
                <c:pt idx="0">
                  <c:v>2018</c:v>
                </c:pt>
                <c:pt idx="1">
                  <c:v>2019</c:v>
                </c:pt>
                <c:pt idx="2">
                  <c:v>2020</c:v>
                </c:pt>
                <c:pt idx="3">
                  <c:v>2021</c:v>
                </c:pt>
                <c:pt idx="4">
                  <c:v>2022</c:v>
                </c:pt>
              </c:numCache>
            </c:numRef>
          </c:cat>
          <c:val>
            <c:numRef>
              <c:f>Sheet2!$I$12:$M$12</c:f>
              <c:numCache>
                <c:formatCode>General</c:formatCode>
                <c:ptCount val="5"/>
                <c:pt idx="0">
                  <c:v>205424</c:v>
                </c:pt>
                <c:pt idx="1">
                  <c:v>359551</c:v>
                </c:pt>
                <c:pt idx="2">
                  <c:v>501234</c:v>
                </c:pt>
                <c:pt idx="3">
                  <c:v>289455</c:v>
                </c:pt>
                <c:pt idx="4">
                  <c:v>659385</c:v>
                </c:pt>
              </c:numCache>
            </c:numRef>
          </c:val>
          <c:extLst>
            <c:ext xmlns:c16="http://schemas.microsoft.com/office/drawing/2014/chart" uri="{C3380CC4-5D6E-409C-BE32-E72D297353CC}">
              <c16:uniqueId val="{00000006-B1AF-41DD-B7E5-C4881C82C663}"/>
            </c:ext>
          </c:extLst>
        </c:ser>
        <c:dLbls>
          <c:showLegendKey val="0"/>
          <c:showVal val="0"/>
          <c:showCatName val="0"/>
          <c:showSerName val="0"/>
          <c:showPercent val="0"/>
          <c:showBubbleSize val="0"/>
        </c:dLbls>
        <c:gapWidth val="219"/>
        <c:shape val="cylinder"/>
        <c:axId val="-677664544"/>
        <c:axId val="-677652032"/>
        <c:axId val="0"/>
      </c:bar3DChart>
      <c:catAx>
        <c:axId val="-67766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7652032"/>
        <c:crosses val="autoZero"/>
        <c:auto val="1"/>
        <c:lblAlgn val="ctr"/>
        <c:lblOffset val="100"/>
        <c:noMultiLvlLbl val="0"/>
      </c:catAx>
      <c:valAx>
        <c:axId val="-67765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7664544"/>
        <c:crosses val="autoZero"/>
        <c:crossBetween val="between"/>
      </c:valAx>
      <c:spPr>
        <a:noFill/>
        <a:ln>
          <a:noFill/>
        </a:ln>
        <a:effectLst/>
      </c:spPr>
    </c:plotArea>
    <c:legend>
      <c:legendPos val="b"/>
      <c:layout>
        <c:manualLayout>
          <c:xMode val="edge"/>
          <c:yMode val="edge"/>
          <c:x val="8.4367481408573933E-2"/>
          <c:y val="0.59809849350226574"/>
          <c:w val="0.88334819963910749"/>
          <c:h val="0.338776390500988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Sheet2!$H$16</c:f>
              <c:strCache>
                <c:ptCount val="1"/>
                <c:pt idx="0">
                  <c:v>392330 Bidoane, sticle, flacoane și articole similare:</c:v>
                </c:pt>
              </c:strCache>
            </c:strRef>
          </c:tx>
          <c:spPr>
            <a:solidFill>
              <a:schemeClr val="accent1"/>
            </a:solidFill>
            <a:ln>
              <a:noFill/>
            </a:ln>
            <a:effectLst/>
            <a:sp3d/>
          </c:spPr>
          <c:invertIfNegative val="0"/>
          <c:cat>
            <c:numRef>
              <c:f>Sheet2!$I$15:$M$15</c:f>
              <c:numCache>
                <c:formatCode>General</c:formatCode>
                <c:ptCount val="5"/>
                <c:pt idx="0">
                  <c:v>2018</c:v>
                </c:pt>
                <c:pt idx="1">
                  <c:v>2019</c:v>
                </c:pt>
                <c:pt idx="2">
                  <c:v>2020</c:v>
                </c:pt>
                <c:pt idx="3">
                  <c:v>2021</c:v>
                </c:pt>
                <c:pt idx="4">
                  <c:v>2022</c:v>
                </c:pt>
              </c:numCache>
            </c:numRef>
          </c:cat>
          <c:val>
            <c:numRef>
              <c:f>Sheet2!$I$16:$M$16</c:f>
              <c:numCache>
                <c:formatCode>General</c:formatCode>
                <c:ptCount val="5"/>
                <c:pt idx="0">
                  <c:v>3984959</c:v>
                </c:pt>
                <c:pt idx="1">
                  <c:v>4426771</c:v>
                </c:pt>
                <c:pt idx="2">
                  <c:v>4222705</c:v>
                </c:pt>
                <c:pt idx="3">
                  <c:v>4306843</c:v>
                </c:pt>
                <c:pt idx="4">
                  <c:v>5475055</c:v>
                </c:pt>
              </c:numCache>
            </c:numRef>
          </c:val>
          <c:shape val="cylinder"/>
          <c:extLst>
            <c:ext xmlns:c16="http://schemas.microsoft.com/office/drawing/2014/chart" uri="{C3380CC4-5D6E-409C-BE32-E72D297353CC}">
              <c16:uniqueId val="{00000000-3CDC-4CD3-A40A-07AFB67D8504}"/>
            </c:ext>
          </c:extLst>
        </c:ser>
        <c:ser>
          <c:idx val="1"/>
          <c:order val="1"/>
          <c:tx>
            <c:strRef>
              <c:f>Sheet2!$H$17</c:f>
              <c:strCache>
                <c:ptCount val="1"/>
                <c:pt idx="0">
                  <c:v>701090 Recipiente din sticlă </c:v>
                </c:pt>
              </c:strCache>
            </c:strRef>
          </c:tx>
          <c:spPr>
            <a:solidFill>
              <a:schemeClr val="accent2"/>
            </a:solidFill>
            <a:ln>
              <a:noFill/>
            </a:ln>
            <a:effectLst/>
            <a:sp3d/>
          </c:spPr>
          <c:invertIfNegative val="0"/>
          <c:cat>
            <c:numRef>
              <c:f>Sheet2!$I$15:$M$15</c:f>
              <c:numCache>
                <c:formatCode>General</c:formatCode>
                <c:ptCount val="5"/>
                <c:pt idx="0">
                  <c:v>2018</c:v>
                </c:pt>
                <c:pt idx="1">
                  <c:v>2019</c:v>
                </c:pt>
                <c:pt idx="2">
                  <c:v>2020</c:v>
                </c:pt>
                <c:pt idx="3">
                  <c:v>2021</c:v>
                </c:pt>
                <c:pt idx="4">
                  <c:v>2022</c:v>
                </c:pt>
              </c:numCache>
            </c:numRef>
          </c:cat>
          <c:val>
            <c:numRef>
              <c:f>Sheet2!$I$17:$M$17</c:f>
              <c:numCache>
                <c:formatCode>General</c:formatCode>
                <c:ptCount val="5"/>
                <c:pt idx="0">
                  <c:v>24656440</c:v>
                </c:pt>
                <c:pt idx="1">
                  <c:v>23577755</c:v>
                </c:pt>
                <c:pt idx="2">
                  <c:v>22753429</c:v>
                </c:pt>
                <c:pt idx="3">
                  <c:v>29123504</c:v>
                </c:pt>
                <c:pt idx="4">
                  <c:v>18247484</c:v>
                </c:pt>
              </c:numCache>
            </c:numRef>
          </c:val>
          <c:shape val="cylinder"/>
          <c:extLst>
            <c:ext xmlns:c16="http://schemas.microsoft.com/office/drawing/2014/chart" uri="{C3380CC4-5D6E-409C-BE32-E72D297353CC}">
              <c16:uniqueId val="{00000001-3CDC-4CD3-A40A-07AFB67D8504}"/>
            </c:ext>
          </c:extLst>
        </c:ser>
        <c:ser>
          <c:idx val="2"/>
          <c:order val="2"/>
          <c:tx>
            <c:strRef>
              <c:f>Sheet2!$H$18</c:f>
              <c:strCache>
                <c:ptCount val="1"/>
                <c:pt idx="0">
                  <c:v>761290 Recipiente din aluminiu  </c:v>
                </c:pt>
              </c:strCache>
            </c:strRef>
          </c:tx>
          <c:spPr>
            <a:solidFill>
              <a:schemeClr val="accent3"/>
            </a:solidFill>
            <a:ln>
              <a:noFill/>
            </a:ln>
            <a:effectLst/>
            <a:sp3d/>
          </c:spPr>
          <c:invertIfNegative val="0"/>
          <c:cat>
            <c:numRef>
              <c:f>Sheet2!$I$15:$M$15</c:f>
              <c:numCache>
                <c:formatCode>General</c:formatCode>
                <c:ptCount val="5"/>
                <c:pt idx="0">
                  <c:v>2018</c:v>
                </c:pt>
                <c:pt idx="1">
                  <c:v>2019</c:v>
                </c:pt>
                <c:pt idx="2">
                  <c:v>2020</c:v>
                </c:pt>
                <c:pt idx="3">
                  <c:v>2021</c:v>
                </c:pt>
                <c:pt idx="4">
                  <c:v>2022</c:v>
                </c:pt>
              </c:numCache>
            </c:numRef>
          </c:cat>
          <c:val>
            <c:numRef>
              <c:f>Sheet2!$I$18:$M$18</c:f>
              <c:numCache>
                <c:formatCode>General</c:formatCode>
                <c:ptCount val="5"/>
                <c:pt idx="0">
                  <c:v>149551</c:v>
                </c:pt>
                <c:pt idx="1">
                  <c:v>125980</c:v>
                </c:pt>
                <c:pt idx="2">
                  <c:v>134651</c:v>
                </c:pt>
                <c:pt idx="3">
                  <c:v>176899</c:v>
                </c:pt>
                <c:pt idx="4">
                  <c:v>197020</c:v>
                </c:pt>
              </c:numCache>
            </c:numRef>
          </c:val>
          <c:shape val="cylinder"/>
          <c:extLst>
            <c:ext xmlns:c16="http://schemas.microsoft.com/office/drawing/2014/chart" uri="{C3380CC4-5D6E-409C-BE32-E72D297353CC}">
              <c16:uniqueId val="{00000002-3CDC-4CD3-A40A-07AFB67D8504}"/>
            </c:ext>
          </c:extLst>
        </c:ser>
        <c:dLbls>
          <c:showLegendKey val="0"/>
          <c:showVal val="0"/>
          <c:showCatName val="0"/>
          <c:showSerName val="0"/>
          <c:showPercent val="0"/>
          <c:showBubbleSize val="0"/>
        </c:dLbls>
        <c:gapWidth val="150"/>
        <c:shape val="box"/>
        <c:axId val="-677661280"/>
        <c:axId val="-677666720"/>
        <c:axId val="0"/>
      </c:bar3DChart>
      <c:catAx>
        <c:axId val="-67766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7666720"/>
        <c:crosses val="autoZero"/>
        <c:auto val="1"/>
        <c:lblAlgn val="ctr"/>
        <c:lblOffset val="100"/>
        <c:noMultiLvlLbl val="0"/>
      </c:catAx>
      <c:valAx>
        <c:axId val="-6776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766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1765-EA91-40CF-AB4E-71F8BF04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8517</Words>
  <Characters>48547</Characters>
  <Application>Microsoft Office Word</Application>
  <DocSecurity>0</DocSecurity>
  <Lines>404</Lines>
  <Paragraphs>113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Virginia Galatonov</cp:lastModifiedBy>
  <cp:revision>3</cp:revision>
  <cp:lastPrinted>2023-05-02T11:56:00Z</cp:lastPrinted>
  <dcterms:created xsi:type="dcterms:W3CDTF">2024-05-03T10:44:00Z</dcterms:created>
  <dcterms:modified xsi:type="dcterms:W3CDTF">2024-05-03T12:33:00Z</dcterms:modified>
</cp:coreProperties>
</file>