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61" w:rsidRPr="00D70761" w:rsidRDefault="00D70761" w:rsidP="00D70761">
      <w:pPr>
        <w:tabs>
          <w:tab w:val="left" w:pos="1276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707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Proiect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D70761" w:rsidRPr="00D70761" w:rsidTr="00C53094">
        <w:trPr>
          <w:jc w:val="center"/>
        </w:trPr>
        <w:tc>
          <w:tcPr>
            <w:tcW w:w="3544" w:type="dxa"/>
          </w:tcPr>
          <w:p w:rsidR="00D70761" w:rsidRPr="00D70761" w:rsidRDefault="00D70761" w:rsidP="00C5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</w:tcPr>
          <w:p w:rsidR="00D70761" w:rsidRPr="00D70761" w:rsidRDefault="00D70761" w:rsidP="00C53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object w:dxaOrig="1659" w:dyaOrig="1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1in" o:ole="" fillcolor="window">
                  <v:imagedata r:id="rId6" o:title=""/>
                </v:shape>
                <o:OLEObject Type="Embed" ProgID="Word.Picture.8" ShapeID="_x0000_i1025" DrawAspect="Content" ObjectID="_1772954446" r:id="rId7"/>
              </w:object>
            </w:r>
          </w:p>
        </w:tc>
        <w:tc>
          <w:tcPr>
            <w:tcW w:w="3693" w:type="dxa"/>
          </w:tcPr>
          <w:p w:rsidR="00D70761" w:rsidRPr="00D70761" w:rsidRDefault="00D70761" w:rsidP="00C5309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0761" w:rsidRPr="00D70761" w:rsidRDefault="00D70761" w:rsidP="00C5309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0761" w:rsidRPr="00D70761" w:rsidRDefault="00D70761" w:rsidP="00C5309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0761" w:rsidRPr="00D70761" w:rsidRDefault="00D70761" w:rsidP="00C5309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0761" w:rsidRPr="00D70761" w:rsidTr="00C53094">
        <w:trPr>
          <w:cantSplit/>
          <w:jc w:val="center"/>
        </w:trPr>
        <w:tc>
          <w:tcPr>
            <w:tcW w:w="9072" w:type="dxa"/>
            <w:gridSpan w:val="3"/>
          </w:tcPr>
          <w:p w:rsidR="00D70761" w:rsidRPr="00D70761" w:rsidRDefault="00D70761" w:rsidP="00C53094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70761" w:rsidRPr="00D70761" w:rsidRDefault="00D70761" w:rsidP="00C5309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</w:rPr>
            </w:pP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pacing w:val="20"/>
                <w:sz w:val="28"/>
                <w:szCs w:val="28"/>
              </w:rPr>
              <w:t>GUVERNUL REPUBLICII MOLDOVA</w:t>
            </w:r>
          </w:p>
          <w:p w:rsidR="00D70761" w:rsidRPr="00D70761" w:rsidRDefault="00D70761" w:rsidP="00C53094">
            <w:pPr>
              <w:keepNext/>
              <w:spacing w:after="0" w:line="240" w:lineRule="auto"/>
              <w:ind w:hanging="28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70761" w:rsidRPr="00D70761" w:rsidRDefault="00D70761" w:rsidP="00C5309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 O T Ă R Â R E  nr</w:t>
            </w:r>
            <w:r w:rsidRPr="00D70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</w:t>
            </w:r>
          </w:p>
          <w:p w:rsidR="00D70761" w:rsidRPr="00D70761" w:rsidRDefault="00D70761" w:rsidP="00C5309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din</w:t>
            </w:r>
            <w:r w:rsidRPr="00D70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___________________________________ </w:t>
            </w: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2024</w:t>
            </w:r>
          </w:p>
          <w:p w:rsidR="00D70761" w:rsidRPr="00D70761" w:rsidRDefault="00D70761" w:rsidP="00C5309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707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Chișinău</w:t>
            </w:r>
          </w:p>
        </w:tc>
      </w:tr>
    </w:tbl>
    <w:p w:rsidR="00D70761" w:rsidRDefault="00D70761" w:rsidP="00D70761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privind modificarea hotărârii de Guvern nr. 204/2009 cu privire la </w:t>
      </w:r>
      <w:r w:rsidRPr="00413B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aprobarea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Reglementării tehnice „Produse de cofetărie”</w:t>
      </w:r>
    </w:p>
    <w:p w:rsidR="00D70761" w:rsidRDefault="00D70761" w:rsidP="00D70761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0761" w:rsidRDefault="00D70761" w:rsidP="00602AD6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În temeiul art.8 alin. (8) din Legea nr.306/2018 privind siguranța alimentelor (Monitorul Oficial al Republicii Moldova, 2019, nr.59-65, art.120), cu modificările ulterioare</w:t>
      </w:r>
      <w:r w:rsidR="00602A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4C1B37" w:rsidRDefault="00602AD6" w:rsidP="00602AD6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Guvernul HOTĂRÂȘTE:</w:t>
      </w:r>
    </w:p>
    <w:p w:rsidR="00602AD6" w:rsidRDefault="00602AD6" w:rsidP="00602AD6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Hotărârea Guvernului nr.204/2009 cu privire la aprobarea Reglementării tehnice „Produse de cofetărie” (Monitorul Oficial al Republicii Moldova, 2009, nr.57-58, art.254), cu modificările ulterioare, se modifică după cum urmează:</w:t>
      </w:r>
    </w:p>
    <w:p w:rsidR="00602AD6" w:rsidRPr="00602AD6" w:rsidRDefault="00602AD6" w:rsidP="00602AD6">
      <w:pPr>
        <w:pStyle w:val="Listparagraf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2A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În hotărâre</w:t>
      </w:r>
    </w:p>
    <w:p w:rsidR="00983D71" w:rsidRDefault="00983D71" w:rsidP="00051011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În titlul și</w:t>
      </w:r>
      <w:r w:rsidR="00457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tot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textul hotăr</w:t>
      </w:r>
      <w:r w:rsidR="00457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ârii,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7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titlul Reglementării tehnice precum și în parafele anexelor nr.1 și nr.2,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cuvintele „</w:t>
      </w:r>
      <w:r w:rsidRPr="000A5D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Reglementare tehnică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”, la orice formă gramaticală, se substituie cu cuvintele „</w:t>
      </w:r>
      <w:r w:rsidRPr="000A5D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Cerințe de calitate</w:t>
      </w:r>
      <w:r w:rsidR="004579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pentru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457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la forma gramaticală corespunzătoare</w:t>
      </w:r>
      <w:r w:rsidR="00547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02AD6" w:rsidRDefault="00602AD6" w:rsidP="00602AD6">
      <w:pPr>
        <w:pStyle w:val="Listparagraf"/>
        <w:numPr>
          <w:ilvl w:val="1"/>
          <w:numId w:val="1"/>
        </w:numPr>
        <w:tabs>
          <w:tab w:val="left" w:pos="54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clauza de emitere se expune în următoarea redacție:</w:t>
      </w:r>
    </w:p>
    <w:p w:rsidR="00602AD6" w:rsidRDefault="00602AD6" w:rsidP="00602AD6">
      <w:pPr>
        <w:pStyle w:val="Listparagraf"/>
        <w:tabs>
          <w:tab w:val="left" w:pos="54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D47E0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În temeiul art. 7, 8 și 13 din Legea nr.306/2018 privind siguranța alimentelor (Monitorul Oficial al Republicii Moldova, 2019, nr. 59-65, art.120) cu modificările ulterioare, al art.7, 8 și 15 din Legea nr.279/2017 privind informarea consumatorului cu privire la produsele alimentare (Monitorul Oficial al Republicii Moldova, 2018, nr. 7-17, art. 54), cu modificările ulterioare</w:t>
      </w:r>
      <w:r w:rsidR="007117C7" w:rsidRPr="00D47E0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Guvernul HOTĂRĂȘTE:</w:t>
      </w:r>
      <w:r w:rsidR="00711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”;</w:t>
      </w:r>
    </w:p>
    <w:p w:rsidR="00602AD6" w:rsidRPr="007117C7" w:rsidRDefault="007117C7" w:rsidP="00602AD6">
      <w:pPr>
        <w:pStyle w:val="Listparagraf"/>
        <w:numPr>
          <w:ilvl w:val="1"/>
          <w:numId w:val="1"/>
        </w:numPr>
        <w:tabs>
          <w:tab w:val="left" w:pos="54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 2 se abrogă;</w:t>
      </w:r>
    </w:p>
    <w:p w:rsidR="007117C7" w:rsidRPr="007117C7" w:rsidRDefault="007117C7" w:rsidP="00602AD6">
      <w:pPr>
        <w:pStyle w:val="Listparagraf"/>
        <w:numPr>
          <w:ilvl w:val="1"/>
          <w:numId w:val="1"/>
        </w:numPr>
        <w:tabs>
          <w:tab w:val="left" w:pos="54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17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pct. 4, textul „și Ministerului Sănătății, Muncii și Protecției Sociale” se exclude.</w:t>
      </w:r>
    </w:p>
    <w:p w:rsidR="00602AD6" w:rsidRDefault="00602AD6" w:rsidP="00602AD6">
      <w:pPr>
        <w:pStyle w:val="Listparagraf"/>
        <w:tabs>
          <w:tab w:val="left" w:pos="540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AD6" w:rsidRPr="005478F0" w:rsidRDefault="00BE179D" w:rsidP="00602AD6">
      <w:pPr>
        <w:pStyle w:val="Listparagraf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În Cerințe:</w:t>
      </w:r>
    </w:p>
    <w:p w:rsidR="00602AD6" w:rsidRDefault="005478F0" w:rsidP="00F532D2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pct.1, după textul „</w:t>
      </w:r>
      <w:r w:rsidRPr="00B13B7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publicată în Jurnalul Oficial al Uniunii Europene L 197, 3.8.2000, p. 19-25 (JO L 197, 3.8.2000, p. 19-25)</w:t>
      </w:r>
      <w:r w:rsidR="00F53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se completează cu textul „</w:t>
      </w:r>
      <w:r w:rsidR="00F532D2" w:rsidRPr="00B13B7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CODEX STAN 87-1981 pentru ciocolată și produse din ciocolată, revizuit în 2003, amendat în 2016, 2022</w:t>
      </w:r>
      <w:r w:rsidR="005950F2" w:rsidRPr="00B13B7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; CODEX STAN 105-1981 pentru praf de cacao și amestecuri uscate de cacao și zaharuri</w:t>
      </w:r>
      <w:r w:rsidR="002A0D7E" w:rsidRPr="00B13B7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revizuit în 2001, amendat în 2010, 2013, 2016, 2022.</w:t>
      </w:r>
      <w:r w:rsidR="002A0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F53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33A5B" w:rsidRDefault="00D33A5B" w:rsidP="00D33A5B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pct.2, se expune în următoarea redacție:</w:t>
      </w:r>
    </w:p>
    <w:p w:rsidR="00D33A5B" w:rsidRPr="00D33A5B" w:rsidRDefault="00D33A5B" w:rsidP="00D33A5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„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2. </w:t>
      </w:r>
      <w:r w:rsidR="00517201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Cerințele de calitate pentru „Produse de cofetărie” (în continuare – Cerințe)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AA0403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stabilesc cerințe minime</w:t>
      </w:r>
      <w:r w:rsidR="00517201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de calitate, ambalare, etichetare, transportare pentru produsele de cofetărie, specificate conform pozițiilor tarifare: 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1704 (cu excepția pozițiilor 1704 10; 1704 90 100 și 1704 90 550)</w:t>
      </w:r>
      <w:r w:rsidR="008053FE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D1193A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1805 00 000 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și 1806 din Nomenclatura combinată a mărf</w:t>
      </w:r>
      <w:r w:rsidR="00AA0403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urilor, aprobată prin Legea nr.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172/2014</w:t>
      </w:r>
      <w:r w:rsidR="00517201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cu modificările ulterioare, care sunt destinate consumului uman, prov</w:t>
      </w:r>
      <w:r w:rsidR="005473F8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enite atât din producția autohtonă</w:t>
      </w:r>
      <w:r w:rsidR="00517201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cât și din import.</w:t>
      </w:r>
      <w:r w:rsidRPr="00AA040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CE7801" w:rsidRPr="00AD1CDE" w:rsidRDefault="00AD1CDE" w:rsidP="00AD1CDE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pct.4 </w:t>
      </w:r>
      <w:r w:rsidR="002A0D7E" w:rsidRPr="00AD1C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se completează cu s</w:t>
      </w:r>
      <w:r w:rsidR="00CE7801" w:rsidRPr="00AD1C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bpct. 26) și 27) cu următorul cuprins:</w:t>
      </w:r>
    </w:p>
    <w:p w:rsidR="00CE7801" w:rsidRPr="007927EC" w:rsidRDefault="00CE7801" w:rsidP="00CE7801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AD1CDE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26)</w:t>
      </w:r>
      <w:r w:rsidR="00AD1CDE"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  <w:t>ciocolată semi-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amară – produsul ce conține minimum 30% substanță uscată de cacao total, ce include minimum 15% unt de cacao și minimum 14% substanță uscată de cacao fără grăsimi.</w:t>
      </w:r>
    </w:p>
    <w:p w:rsidR="005473F8" w:rsidRPr="00EF43FF" w:rsidRDefault="00CE7801" w:rsidP="00EF43FF">
      <w:pPr>
        <w:pStyle w:val="Listparagr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27)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  <w:t>ciocolată amară – produsul ce conține minimum 40% substanță uscată de cacao total, ce include minimum 22% unt de cacao și minimum 18% substanță uscată de cacao fără grăsimi.</w:t>
      </w:r>
      <w:r w:rsidRPr="00CE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473F8" w:rsidRDefault="00EF43FF" w:rsidP="00D33A5B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pct.5 se expune în următoarea redacție:</w:t>
      </w:r>
    </w:p>
    <w:p w:rsidR="00EF43FF" w:rsidRPr="00767CD0" w:rsidRDefault="00EF43FF" w:rsidP="00767C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5.</w:t>
      </w:r>
      <w:r w:rsidRPr="007927E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</w:r>
      <w:r w:rsidR="001D219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Produsele de cofetărie trebuie să fie fabricate în baza rețetelor și/sau instrucțiunilor tehnologice, elaborate și aprobate de către producător.</w:t>
      </w:r>
      <w:r w:rsidRPr="00EF43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F43FF" w:rsidRDefault="00DA430E" w:rsidP="00D33A5B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pct.6 se expune în următoarea redacție:</w:t>
      </w:r>
    </w:p>
    <w:p w:rsidR="00DA430E" w:rsidRPr="00DA430E" w:rsidRDefault="00DA430E" w:rsidP="00DA43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6.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  <w:t xml:space="preserve">Materiile prime utilizate la fabricarea produselor de cofetărie, trebuie să corespundă </w:t>
      </w:r>
      <w:r w:rsidR="00CC25F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reglementărilor aplicabile din domeniul alimentar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 Originea, calitatea și siguranța materiei prime utilizate la fabricarea produselor de cofetărie, se confirmă prin certificatul de calitate și rapoartele de încercări de laborator.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A430E" w:rsidRDefault="00EF73D7" w:rsidP="00D33A5B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</w:t>
      </w:r>
      <w:r w:rsidR="00DA4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ct.7 se expune în următoarea redacție:</w:t>
      </w:r>
    </w:p>
    <w:p w:rsidR="009B0A97" w:rsidRPr="009B0A97" w:rsidRDefault="00DA430E" w:rsidP="009B0A9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7.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  <w:t>Producătorul deține înregistrările care permit verificarea trasabilității pentru a identifica materiile prime, loturile și tipuri de produse și documentele ce autentifică respectarea cerințelor de calitate. Aceste înregistrări se păstrează timp de 3 ani.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B0A97" w:rsidRDefault="009B0A97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pct.8 se expune în următoarea redacție:</w:t>
      </w:r>
    </w:p>
    <w:p w:rsidR="009B0A97" w:rsidRDefault="009B0A97" w:rsidP="009B0A97">
      <w:pPr>
        <w:pStyle w:val="Listparagr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8. </w:t>
      </w:r>
      <w:r w:rsidRPr="009B0A9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Siguranța și calitatea produselor este asigurată de către producător/importator, la orice etapă a lanțului alimentar. Acest scop poate fi atins prin aplicarea procedurilor bazate pe principiile de analiză a riscurilor și a punctelor critice de control (HACCP), sau în cazul producătorilor de cantități mici, prin aplicarea bunelor practici de igienă.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”;</w:t>
      </w:r>
    </w:p>
    <w:p w:rsidR="00DA430E" w:rsidRDefault="00EF73D7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pct.14, textul „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La producerea îngheţatei şi a produselor similare îngheţatei se admite utilizarea uleiului de nucă de cocos.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se substituie cu textul „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Se admite utilizarea uleiului de nucă de cocos în scopul producerii ciocolatei utilizată la fabricarea înghețatei și a altor produse similare.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1C3A" w:rsidRDefault="00871C3A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 17 se expune în următoarea redacție:</w:t>
      </w:r>
    </w:p>
    <w:p w:rsidR="00871C3A" w:rsidRPr="00871C3A" w:rsidRDefault="00871C3A" w:rsidP="00871C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17.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ab/>
        <w:t>Nivelurile maxime ale unor contaminanți din produse trebuie să cor</w:t>
      </w:r>
      <w:r w:rsidR="007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espundă cerințelor stipulate în 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Regulamentul sanitar privind contaminanții din produsele alimentare</w:t>
      </w:r>
      <w:r w:rsidR="007072B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aprobat prin Hotărârea Guvernului nr.520/2010</w:t>
      </w:r>
      <w:r w:rsidRPr="00CA7E3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”</w:t>
      </w:r>
      <w:r w:rsidR="007072BD" w:rsidRPr="00707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D214A" w:rsidRDefault="000D214A" w:rsidP="00E90D9E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se completează cu pct.17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1</w:t>
      </w:r>
      <w:r w:rsidR="00CC5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B398E" w:rsidRPr="007B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6130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4</w:t>
      </w:r>
      <w:r w:rsidR="00CC5C97" w:rsidRPr="00CC5C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398E" w:rsidRPr="007B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</w:t>
      </w:r>
      <w:r w:rsidR="007B39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următorul conținut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B398E" w:rsidRDefault="000D214A" w:rsidP="00E14976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7B398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</w:t>
      </w:r>
      <w:r w:rsidRPr="007B398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eastAsia="ru-RU"/>
        </w:rPr>
        <w:t>1</w:t>
      </w:r>
      <w:r w:rsidRPr="007B398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 Fabricarea produselor de cofetărie, cu utilizarea aditivilor alimentari, inclusiv a conservanților, se admite cu condiția respectării cerințelor a</w:t>
      </w:r>
      <w:r w:rsidR="007B398E" w:rsidRPr="007B398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probate prin Hotărârea Guvernului nr.229/2013 pentru aprobarea Regulamentului sanitar privind aditivii alimentari.</w:t>
      </w:r>
    </w:p>
    <w:p w:rsidR="00CC5C97" w:rsidRDefault="007B398E" w:rsidP="00E14976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lastRenderedPageBreak/>
        <w:t>17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 Conținutul de acizi grași trans în produsele de cofetărie destinate consumatorului final, nu trebuie să depășească 2g la 100g de grăsime.</w:t>
      </w:r>
    </w:p>
    <w:p w:rsidR="006130E1" w:rsidRDefault="00CC5C97" w:rsidP="006130E1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. </w:t>
      </w:r>
      <w:r w:rsidR="00E16528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Aromele utilizate la fabricarea produselor de cofetărie, trebuie să corespundă prevederilor Regulamentului </w:t>
      </w:r>
      <w:r w:rsidR="00E14976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sanitare privind aromele și anumite ingrediente destinate utilizării în și pe produsele alimentare și stabilirea măsurilor tranzitorii privind lista de arome și materii prime, aprobat prin Hotărârea Guvernului nr.1245/2018.</w:t>
      </w:r>
    </w:p>
    <w:p w:rsidR="003E2C1A" w:rsidRDefault="006130E1" w:rsidP="000D214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. Zaharurile menționate în prezentele Cerințe, nu sunt limitate </w:t>
      </w:r>
      <w:r w:rsidR="000C7DB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doar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la cele ce cad sub incidența Hotărârii de Guvern nr.774/2007.</w:t>
      </w:r>
      <w:r w:rsidR="007B398E" w:rsidRPr="007B398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”</w:t>
      </w:r>
    </w:p>
    <w:p w:rsidR="00F45CD0" w:rsidRPr="00E90D9E" w:rsidRDefault="00E90D9E" w:rsidP="00E90D9E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la pct.</w:t>
      </w:r>
      <w:r w:rsidR="00EC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C68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C6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sintagma „</w:t>
      </w:r>
      <w:r w:rsidR="004079C3" w:rsidRPr="003C122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autorizate sanitar</w:t>
      </w:r>
      <w:r w:rsidR="00407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se substituie cu sintagma „</w:t>
      </w:r>
      <w:r w:rsidR="004079C3" w:rsidRPr="003C122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autorizate sanitar-veterinar</w:t>
      </w:r>
      <w:r w:rsidR="00407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="003C1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D2190" w:rsidRDefault="001D2190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pct.23 se expune în următoarea redacție:</w:t>
      </w:r>
    </w:p>
    <w:p w:rsidR="001D2190" w:rsidRPr="001D2190" w:rsidRDefault="001D2190" w:rsidP="001D2190">
      <w:pPr>
        <w:pStyle w:val="Listparagr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21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„</w:t>
      </w:r>
      <w:r w:rsidRPr="001D219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23. Termenul de valabilitate al produselor este stabilit de către producător, în conformitate cu cerințele stabilite la art.13 din Legea nr.306/2018 privind siguranța alimentelor</w:t>
      </w:r>
      <w:r w:rsidRPr="001D219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”</w:t>
      </w:r>
      <w:r w:rsidRPr="001D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AA29AE" w:rsidRDefault="006C6816" w:rsidP="002F62CA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pct.24</w:t>
      </w:r>
      <w:r w:rsidR="00AA2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se expune în următoarea redacție:</w:t>
      </w:r>
    </w:p>
    <w:p w:rsidR="001D75E2" w:rsidRPr="002F62CA" w:rsidRDefault="00AA29AE" w:rsidP="00AA29AE">
      <w:pPr>
        <w:pStyle w:val="Listparagr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AA29A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24. Produsele de cofetărie trebuie comercializate în condiții care asigură inofensivitatea și păstrarea</w:t>
      </w:r>
      <w:r w:rsidR="006C6816" w:rsidRPr="00AA29A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Pr="00AA29A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caracteristicilor organoleptice și care exclud probabilitatea deteriorării și absorbția mirosurilor străine.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”;</w:t>
      </w:r>
    </w:p>
    <w:p w:rsidR="00C90C72" w:rsidRDefault="00A277CC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Capitolul IV</w:t>
      </w:r>
      <w:r w:rsid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Evaluarea conformității, se abrogă;</w:t>
      </w:r>
    </w:p>
    <w:p w:rsidR="001D2190" w:rsidRDefault="001D2190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Se </w:t>
      </w:r>
      <w:r w:rsidR="00EB01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completează cu pct.32 și pct.33:</w:t>
      </w:r>
    </w:p>
    <w:p w:rsidR="00EB0127" w:rsidRPr="00EB0127" w:rsidRDefault="001D2190" w:rsidP="001D2190">
      <w:pPr>
        <w:pStyle w:val="Listparagr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EB01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32. 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Introducerea pe piață a produselor care cad sub incidența prezentelor cerințe, atât de producția autohtonă, cât și de import, se efectuează cu respectarea Legii nr. 306/2018 privind siguranța alimentelor și a Legii nr. 296/2017 privind cerințele generale de igienă a produselor alimentare. Produsele urmează a fi etichetate și marcate în conformitate cu Legea nr. 279/2017 privind informarea consumatorului cu privire la produsele alimentare.</w:t>
      </w:r>
    </w:p>
    <w:p w:rsidR="00EB0127" w:rsidRPr="00253E26" w:rsidRDefault="00EB0127" w:rsidP="00253E26">
      <w:pPr>
        <w:pStyle w:val="Listparagr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33.</w:t>
      </w:r>
      <w:r w:rsidRPr="00EB0127"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La introducerea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pe piață, produsele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de cofetărie 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trebuie să fie însoțite de certificatul de calita</w:t>
      </w:r>
      <w:r w:rsidR="007914C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te eliberat de către producător și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confirmat prin rapoarte de </w:t>
      </w:r>
      <w:r w:rsidR="006A23E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încercări de laborator</w:t>
      </w:r>
      <w:r w:rsidR="006D4D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sau copia acestora</w:t>
      </w:r>
      <w:r w:rsidR="007914C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, în condițiile art.</w:t>
      </w:r>
      <w:r w:rsidR="007914CE" w:rsidRPr="007914C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13</w:t>
      </w:r>
      <w:r w:rsidR="007914C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vertAlign w:val="superscript"/>
          <w:lang w:eastAsia="ru-RU"/>
        </w:rPr>
        <w:t>1</w:t>
      </w:r>
      <w:r w:rsidR="007914C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din Legea nr.306/2018 privind siguranța alimentelor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 Verificarea indicilor de calitate, determinarea for</w:t>
      </w:r>
      <w:r w:rsidR="006A23E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melor de prezentare, </w:t>
      </w:r>
      <w:r w:rsidRPr="00EB012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etichetare se efectuează de către producător pentru fiecare lot. </w:t>
      </w:r>
      <w:r w:rsidR="006A23E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Verificarea indicilor fizico-chimici se efectuează de laboratoare acreditate în conformitate cu planurile de autocontrol elaborate de producător/importator. </w:t>
      </w:r>
      <w:r w:rsidR="001D2190" w:rsidRPr="001D2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”;</w:t>
      </w:r>
    </w:p>
    <w:p w:rsidR="00FA7D0C" w:rsidRPr="007072BD" w:rsidRDefault="007072BD" w:rsidP="007072BD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7E4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nexa nr.1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„Caracteristici organoleptice” s</w:t>
      </w:r>
      <w:r w:rsidR="002F79D9" w:rsidRP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 completează cu tabelul nr.</w:t>
      </w:r>
      <w:r w:rsidR="004B20D0" w:rsidRP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A39E1" w:rsidRPr="00707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39E1" w:rsidRPr="00AA2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„Pentru ciocolată”</w:t>
      </w:r>
      <w:r w:rsidR="00AA2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4332F" w:rsidRPr="00E4332F" w:rsidRDefault="00E4332F" w:rsidP="00E4332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6A23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8. Pentru ciocolată</w:t>
      </w:r>
    </w:p>
    <w:tbl>
      <w:tblPr>
        <w:tblpPr w:leftFromText="180" w:rightFromText="180" w:vertAnchor="text" w:horzAnchor="margin" w:tblpXSpec="right" w:tblpY="1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7166"/>
      </w:tblGrid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Indicatori 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Condiţii  de admisibilitate</w:t>
            </w:r>
          </w:p>
        </w:tc>
      </w:tr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Aspectul exterior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Suprafaţa exterioară cu uniformă/desen sau fără, strălucitoare.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 admite o suprafață mată și/sau neuniformă, dură – în ciocolata cu adaos de produse procesate din lapte, nuci zdrobite, arahide, alune, fructe confiate, stafide etc., în ciocolata turnată în forme speciale cu o suprafață aspră, în ciocolata poroasă.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 permisă îngroșarea suprafeței – pentru ciocolata cu adaos de componente întregi și/sau zdrobite, care conțin grăsimi vegetale, altele decât untul de cacao; pentru ciocolata cu umplutură care conține grăsimi vegetale, altele decât untul de cacao.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Se admite 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albirea</w:t>
            </w: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ciocolatei destinate prelucrării industriale.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 permisă o ușoară aglomerare pentru pudra de ciocolată.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Nu este permisă mai mult de 5 % de sfărâmături, a căror dimensiune nu depășește 1/3 din suprafața totală a produsului, rupturile cu dimensiuni mai mici nu trebuie să depășească 3% din greutatea ciocolatei.</w:t>
            </w:r>
          </w:p>
          <w:p w:rsidR="006E648A" w:rsidRPr="007072BD" w:rsidRDefault="00E4332F" w:rsidP="009B3046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 admit rupturi:</w:t>
            </w:r>
          </w:p>
          <w:p w:rsidR="00E4332F" w:rsidRPr="007072BD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ciocolată – maximum  2,0 %;</w:t>
            </w:r>
          </w:p>
          <w:p w:rsidR="00E4332F" w:rsidRPr="007072BD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cu umplutură – maximum 4,0 %.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Se admit </w:t>
            </w:r>
            <w:r w:rsidR="007072BD"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defecțiuni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minore care nu afectează aspectul exterior al produsului: </w:t>
            </w:r>
            <w:r w:rsidR="007072BD"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sfărâmături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bule, </w:t>
            </w:r>
            <w:r w:rsidR="007072BD"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zgârieturi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072BD"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bucăți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rupte, pătrunderea fazei lichide a umpluturii la suprafaţă.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 este permisă infestarea cu dăunători.</w:t>
            </w:r>
          </w:p>
        </w:tc>
      </w:tr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Gust şi aromă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Caracteristice produsului respectiv şi condiţionate de ingredientele menţionate în documentul normativ pentru produsul respectiv, fără gust şi miros străin.</w:t>
            </w:r>
          </w:p>
        </w:tc>
      </w:tr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Formă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Diversă, fără deformații, cu excepția 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greutății</w:t>
            </w: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și a ciocolatei pudră.</w:t>
            </w:r>
          </w:p>
        </w:tc>
      </w:tr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Consistenţă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fără umplutură și ciocolata fără adaos – tare;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cu umplutură și ciocolata cu adaos – în conformitate cu rețeta și/sau alte documente normative pentru produsul respectiv;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Pentru ciocolata pudră – liberă, </w:t>
            </w:r>
            <w:r w:rsidRPr="007072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nisipoasă.</w:t>
            </w:r>
          </w:p>
        </w:tc>
      </w:tr>
      <w:tr w:rsidR="00E4332F" w:rsidRPr="00E4332F" w:rsidTr="00B91FB5">
        <w:trPr>
          <w:trHeight w:val="20"/>
        </w:trPr>
        <w:tc>
          <w:tcPr>
            <w:tcW w:w="1046" w:type="pct"/>
          </w:tcPr>
          <w:p w:rsidR="00E4332F" w:rsidRPr="00E4332F" w:rsidRDefault="00E4332F" w:rsidP="00E43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Textura</w:t>
            </w:r>
          </w:p>
        </w:tc>
        <w:tc>
          <w:tcPr>
            <w:tcW w:w="3954" w:type="pct"/>
          </w:tcPr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fără umplutură și ciocolata fără adaos, ciocolata pudră – omogenă;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cu umplutură și ciocolata cu adaos – în conformitate cu rețeta și/sau alte documente normative pentru produsul respectiv;</w:t>
            </w:r>
          </w:p>
          <w:p w:rsidR="00E4332F" w:rsidRPr="00E4332F" w:rsidRDefault="00E4332F" w:rsidP="00E4332F">
            <w:pPr>
              <w:spacing w:after="0" w:line="240" w:lineRule="auto"/>
              <w:ind w:firstLine="27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 ciocolata poroasă – aerată.</w:t>
            </w:r>
          </w:p>
        </w:tc>
      </w:tr>
    </w:tbl>
    <w:p w:rsidR="00E4332F" w:rsidRPr="007072BD" w:rsidRDefault="00E4332F" w:rsidP="007072B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7D0C" w:rsidRDefault="00B91FB5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A</w:t>
      </w:r>
      <w:r w:rsidR="00E433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nexa nr.2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„Indicatorii fizico-chimici”:</w:t>
      </w:r>
    </w:p>
    <w:p w:rsidR="001B6538" w:rsidRDefault="00CB0BE4" w:rsidP="00E4332F">
      <w:pPr>
        <w:pStyle w:val="Listparagraf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Se completează cu tabelul nr. 8</w:t>
      </w:r>
    </w:p>
    <w:p w:rsidR="00CB0BE4" w:rsidRDefault="00CB0BE4" w:rsidP="00B91FB5">
      <w:pPr>
        <w:pStyle w:val="Listparagraf"/>
        <w:tabs>
          <w:tab w:val="left" w:pos="1134"/>
        </w:tabs>
        <w:spacing w:after="0" w:line="240" w:lineRule="auto"/>
        <w:ind w:left="1069" w:hanging="106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Pr="006A23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8. Pentru ciocolată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1029"/>
        <w:gridCol w:w="1005"/>
        <w:gridCol w:w="1004"/>
        <w:gridCol w:w="1004"/>
        <w:gridCol w:w="1004"/>
        <w:gridCol w:w="1004"/>
        <w:gridCol w:w="1004"/>
        <w:gridCol w:w="1004"/>
        <w:gridCol w:w="1004"/>
      </w:tblGrid>
      <w:tr w:rsidR="0060127F" w:rsidRPr="00C35AF3" w:rsidTr="00D038BF">
        <w:trPr>
          <w:trHeight w:val="825"/>
        </w:trPr>
        <w:tc>
          <w:tcPr>
            <w:tcW w:w="567" w:type="pct"/>
            <w:vAlign w:val="center"/>
          </w:tcPr>
          <w:p w:rsidR="00CB0BE4" w:rsidRPr="00D038BF" w:rsidRDefault="00CB0BE4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Denumirea produselor</w:t>
            </w:r>
          </w:p>
        </w:tc>
        <w:tc>
          <w:tcPr>
            <w:tcW w:w="554" w:type="pct"/>
            <w:vAlign w:val="center"/>
          </w:tcPr>
          <w:p w:rsidR="00CB0BE4" w:rsidRPr="00D038BF" w:rsidRDefault="00147756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total de substanțe solide de cacao, %</w:t>
            </w:r>
          </w:p>
        </w:tc>
        <w:tc>
          <w:tcPr>
            <w:tcW w:w="554" w:type="pct"/>
            <w:vAlign w:val="center"/>
          </w:tcPr>
          <w:p w:rsidR="00CB0BE4" w:rsidRPr="00D038BF" w:rsidRDefault="00F35E05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u</w:t>
            </w:r>
            <w:r w:rsidR="00147756"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nt de cacao</w:t>
            </w:r>
            <w:r w:rsidR="00A068A9"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substanțe solide de cacao fără grăsimi,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făină sau amidon (grâu, porumb, orez etc.),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substanțe solide din lapte,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grăsimi din lapte,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total de grăsimi, %</w:t>
            </w:r>
          </w:p>
        </w:tc>
        <w:tc>
          <w:tcPr>
            <w:tcW w:w="554" w:type="pct"/>
            <w:vAlign w:val="center"/>
          </w:tcPr>
          <w:p w:rsidR="00CB0BE4" w:rsidRPr="00D038BF" w:rsidRDefault="00A068A9" w:rsidP="00F35E05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038BF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Conținutul de alune, %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CB0BE4" w:rsidRPr="00C35AF3" w:rsidRDefault="00A068A9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</w:t>
            </w:r>
          </w:p>
        </w:tc>
        <w:tc>
          <w:tcPr>
            <w:tcW w:w="554" w:type="pct"/>
          </w:tcPr>
          <w:p w:rsidR="00CB0BE4" w:rsidRPr="00C35AF3" w:rsidRDefault="00A068A9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≥35</w:t>
            </w:r>
          </w:p>
        </w:tc>
        <w:tc>
          <w:tcPr>
            <w:tcW w:w="554" w:type="pct"/>
          </w:tcPr>
          <w:p w:rsidR="00CB0BE4" w:rsidRPr="00C35AF3" w:rsidRDefault="00A068A9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</w:t>
            </w:r>
            <w:r w:rsidR="002876AF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4" w:type="pct"/>
          </w:tcPr>
          <w:p w:rsidR="00CB0BE4" w:rsidRPr="00C35AF3" w:rsidRDefault="00A068A9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</w:t>
            </w:r>
            <w:r w:rsidR="002876AF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pct"/>
          </w:tcPr>
          <w:p w:rsidR="00CB0BE4" w:rsidRPr="00C35AF3" w:rsidRDefault="0089036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926617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926617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FB0593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FB0593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CB0BE4" w:rsidRPr="00C35AF3" w:rsidRDefault="002876A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a la taza</w:t>
            </w:r>
          </w:p>
        </w:tc>
        <w:tc>
          <w:tcPr>
            <w:tcW w:w="554" w:type="pct"/>
          </w:tcPr>
          <w:p w:rsidR="00CB0BE4" w:rsidRPr="00C35AF3" w:rsidRDefault="002876A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≥35</w:t>
            </w:r>
          </w:p>
        </w:tc>
        <w:tc>
          <w:tcPr>
            <w:tcW w:w="554" w:type="pct"/>
          </w:tcPr>
          <w:p w:rsidR="00CB0BE4" w:rsidRPr="00C35AF3" w:rsidRDefault="002876A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≥18</w:t>
            </w:r>
          </w:p>
        </w:tc>
        <w:tc>
          <w:tcPr>
            <w:tcW w:w="554" w:type="pct"/>
          </w:tcPr>
          <w:p w:rsidR="00CB0BE4" w:rsidRPr="00C35AF3" w:rsidRDefault="002876A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≥14</w:t>
            </w:r>
          </w:p>
        </w:tc>
        <w:tc>
          <w:tcPr>
            <w:tcW w:w="554" w:type="pct"/>
          </w:tcPr>
          <w:p w:rsidR="00CB0BE4" w:rsidRPr="00C35AF3" w:rsidRDefault="002876AF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&lt;8 m/m</w:t>
            </w:r>
          </w:p>
        </w:tc>
        <w:tc>
          <w:tcPr>
            <w:tcW w:w="554" w:type="pct"/>
          </w:tcPr>
          <w:p w:rsidR="00CB0BE4" w:rsidRPr="00C35AF3" w:rsidRDefault="00926617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926617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FB0593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CB0BE4" w:rsidRPr="00C35AF3" w:rsidRDefault="00FB0593" w:rsidP="00CB0BE4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dulce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≥30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≥18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≥12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familiară a la taza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≥30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≥18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≥12</w:t>
            </w:r>
          </w:p>
        </w:tc>
        <w:tc>
          <w:tcPr>
            <w:tcW w:w="554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&lt;18 m/m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2876A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Cuvertură de ciocolată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≥35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≥31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cu lapte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≥25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≥12-14</w:t>
            </w:r>
          </w:p>
        </w:tc>
        <w:tc>
          <w:tcPr>
            <w:tcW w:w="554" w:type="pct"/>
          </w:tcPr>
          <w:p w:rsidR="002876AF" w:rsidRPr="00C35AF3" w:rsidRDefault="00783EE8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≥2,5-3,5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AA0B9E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familiară cu lapte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≥5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60127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Cuvertură de ciocolată cu lapte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≥25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≥14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≥3,5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≥31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60127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albă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≥14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≥2,5-3,5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60127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Gianduja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≥32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≥8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 și ≤40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60127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Gianduja cu lapte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≥25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≥10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≥2,5-3,5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≥15 și ≤40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60127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Ciocolată </w:t>
            </w:r>
            <w:r w:rsidR="00926617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para </w:t>
            </w: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mesa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≥11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≥9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AA29AE" w:rsidP="00AA29AE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Ciocolată semi-amară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≥30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≥14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387B9D" w:rsidP="00AA29AE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Ciocolată amară 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≥40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≥22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≥18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1D19AA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granule/ fulgi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≥32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≥12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≥14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60127F" w:rsidRPr="00C35AF3" w:rsidTr="00B91FB5">
        <w:trPr>
          <w:trHeight w:val="20"/>
        </w:trPr>
        <w:tc>
          <w:tcPr>
            <w:tcW w:w="567" w:type="pct"/>
          </w:tcPr>
          <w:p w:rsidR="002876AF" w:rsidRPr="00C35AF3" w:rsidRDefault="001D19AA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granule/ fulgi cu lapte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≥20</w:t>
            </w:r>
          </w:p>
        </w:tc>
        <w:tc>
          <w:tcPr>
            <w:tcW w:w="554" w:type="pct"/>
          </w:tcPr>
          <w:p w:rsidR="002876AF" w:rsidRPr="00C35AF3" w:rsidRDefault="00B112EC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≥2,5</w:t>
            </w:r>
          </w:p>
        </w:tc>
        <w:tc>
          <w:tcPr>
            <w:tcW w:w="554" w:type="pct"/>
          </w:tcPr>
          <w:p w:rsidR="002876AF" w:rsidRPr="00C35AF3" w:rsidRDefault="0089036F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≥12</w:t>
            </w:r>
          </w:p>
        </w:tc>
        <w:tc>
          <w:tcPr>
            <w:tcW w:w="554" w:type="pct"/>
          </w:tcPr>
          <w:p w:rsidR="002876AF" w:rsidRPr="00C35AF3" w:rsidRDefault="00926617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≥3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4" w:type="pct"/>
          </w:tcPr>
          <w:p w:rsidR="002876AF" w:rsidRPr="00C35AF3" w:rsidRDefault="00FB0593" w:rsidP="002876AF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</w:tbl>
    <w:p w:rsidR="00CB0BE4" w:rsidRPr="00FB0593" w:rsidRDefault="00CB0BE4" w:rsidP="00FB059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0BE4" w:rsidRDefault="0046509D" w:rsidP="00E4332F">
      <w:pPr>
        <w:pStyle w:val="Listparagraf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Se completează cu tabelul nr. 9</w:t>
      </w:r>
    </w:p>
    <w:p w:rsidR="0046509D" w:rsidRPr="00B91FB5" w:rsidRDefault="0046509D" w:rsidP="00B91FB5">
      <w:pPr>
        <w:pStyle w:val="Listparagraf"/>
        <w:tabs>
          <w:tab w:val="left" w:pos="1134"/>
        </w:tabs>
        <w:spacing w:after="0" w:line="240" w:lineRule="auto"/>
        <w:ind w:left="1069" w:hanging="10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1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0639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9. Pentru Pudră de cacao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745"/>
        <w:gridCol w:w="1118"/>
        <w:gridCol w:w="1613"/>
        <w:gridCol w:w="2606"/>
        <w:gridCol w:w="2980"/>
      </w:tblGrid>
      <w:tr w:rsidR="00063932" w:rsidRPr="00C35AF3" w:rsidTr="00B91FB5">
        <w:tc>
          <w:tcPr>
            <w:tcW w:w="1028" w:type="pct"/>
            <w:gridSpan w:val="2"/>
            <w:vMerge w:val="restar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Pudră de cacao</w:t>
            </w:r>
          </w:p>
        </w:tc>
        <w:tc>
          <w:tcPr>
            <w:tcW w:w="3972" w:type="pct"/>
            <w:gridSpan w:val="3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Conținutul de umiditate – </w:t>
            </w:r>
            <w:r w:rsidRPr="000639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nu mai mult de 7% m/m</w:t>
            </w:r>
            <w:r w:rsidR="00D4754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063932" w:rsidRPr="00C35AF3" w:rsidTr="00B91FB5">
        <w:tc>
          <w:tcPr>
            <w:tcW w:w="1028" w:type="pct"/>
            <w:gridSpan w:val="2"/>
            <w:vMerge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gridSpan w:val="3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Conținutul de unt de cacao</w:t>
            </w:r>
          </w:p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(conținut minim de pudră de cacao pe bază de substanță uscată)</w:t>
            </w:r>
          </w:p>
        </w:tc>
      </w:tr>
      <w:tr w:rsidR="00063932" w:rsidRPr="00C35AF3" w:rsidTr="00B91FB5">
        <w:tc>
          <w:tcPr>
            <w:tcW w:w="1028" w:type="pct"/>
            <w:gridSpan w:val="2"/>
            <w:vMerge/>
          </w:tcPr>
          <w:p w:rsidR="00063932" w:rsidRPr="00C35AF3" w:rsidRDefault="00063932" w:rsidP="0046509D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≥20% m/m</w:t>
            </w:r>
          </w:p>
        </w:tc>
        <w:tc>
          <w:tcPr>
            <w:tcW w:w="1438" w:type="pct"/>
            <w:vAlign w:val="center"/>
          </w:tcPr>
          <w:p w:rsidR="00063932" w:rsidRPr="00C35AF3" w:rsidRDefault="00E03408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≥10% m/m dar </w:t>
            </w:r>
            <w:r w:rsidR="00063932"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&lt;20% m/m</w:t>
            </w:r>
          </w:p>
        </w:tc>
        <w:tc>
          <w:tcPr>
            <w:tcW w:w="1644" w:type="pc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&lt;10% m/m</w:t>
            </w:r>
          </w:p>
        </w:tc>
      </w:tr>
      <w:tr w:rsidR="00063932" w:rsidRPr="00C35AF3" w:rsidTr="00B91FB5">
        <w:tc>
          <w:tcPr>
            <w:tcW w:w="1028" w:type="pct"/>
            <w:gridSpan w:val="2"/>
            <w:vMerge/>
          </w:tcPr>
          <w:p w:rsidR="00063932" w:rsidRPr="00C35AF3" w:rsidRDefault="00063932" w:rsidP="0046509D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</w:t>
            </w:r>
          </w:p>
        </w:tc>
        <w:tc>
          <w:tcPr>
            <w:tcW w:w="1438" w:type="pc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 cu conținut scăzut de grăsimi</w:t>
            </w:r>
          </w:p>
        </w:tc>
        <w:tc>
          <w:tcPr>
            <w:tcW w:w="1644" w:type="pct"/>
            <w:vAlign w:val="center"/>
          </w:tcPr>
          <w:p w:rsidR="00063932" w:rsidRPr="00C35AF3" w:rsidRDefault="00063932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 cu conținut foarte scăzut de grăsimi</w:t>
            </w:r>
          </w:p>
        </w:tc>
      </w:tr>
      <w:tr w:rsidR="00F81124" w:rsidRPr="00C35AF3" w:rsidTr="00063932">
        <w:trPr>
          <w:trHeight w:val="1589"/>
        </w:trPr>
        <w:tc>
          <w:tcPr>
            <w:tcW w:w="411" w:type="pct"/>
            <w:vMerge w:val="restart"/>
            <w:textDirection w:val="btLr"/>
            <w:vAlign w:val="center"/>
          </w:tcPr>
          <w:p w:rsidR="00F81124" w:rsidRPr="00C35AF3" w:rsidRDefault="00F81124" w:rsidP="00F643A3">
            <w:pPr>
              <w:pStyle w:val="Listparagraf"/>
              <w:tabs>
                <w:tab w:val="left" w:pos="1134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Conținutul de pudră de cacao în amestecuri </w:t>
            </w:r>
            <w:r w:rsidR="00F643A3"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uscate</w:t>
            </w:r>
          </w:p>
        </w:tc>
        <w:tc>
          <w:tcPr>
            <w:tcW w:w="617" w:type="pct"/>
            <w:vAlign w:val="center"/>
          </w:tcPr>
          <w:p w:rsidR="00F81124" w:rsidRPr="00C35AF3" w:rsidRDefault="00F643A3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&lt;25% m/m</w:t>
            </w:r>
          </w:p>
        </w:tc>
        <w:tc>
          <w:tcPr>
            <w:tcW w:w="890" w:type="pct"/>
            <w:vAlign w:val="center"/>
          </w:tcPr>
          <w:p w:rsidR="00F81124" w:rsidRPr="00C35AF3" w:rsidRDefault="00F643A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Cacao îndulcită</w:t>
            </w:r>
            <w:r w:rsidR="00A56C01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F643A3" w:rsidRPr="00C35AF3" w:rsidRDefault="00F643A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F643A3" w:rsidRPr="00C35AF3" w:rsidRDefault="00F643A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 îndulcită</w:t>
            </w:r>
            <w:r w:rsidR="00A56C01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F643A3" w:rsidRPr="00C35AF3" w:rsidRDefault="00F643A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F643A3" w:rsidRPr="00C35AF3" w:rsidRDefault="00865D8B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de băut</w:t>
            </w:r>
          </w:p>
        </w:tc>
        <w:tc>
          <w:tcPr>
            <w:tcW w:w="1438" w:type="pct"/>
            <w:vAlign w:val="center"/>
          </w:tcPr>
          <w:p w:rsidR="00F81124" w:rsidRPr="00C35AF3" w:rsidRDefault="00865D8B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Cacao îndulcită, cu conținut </w:t>
            </w:r>
            <w:r w:rsidR="00A56C01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redus de grăsimi,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 îndulcită, cu conținut redus de grăsimi,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Ciocolată de băut cu conținu redus de grăsimi </w:t>
            </w:r>
          </w:p>
        </w:tc>
        <w:tc>
          <w:tcPr>
            <w:tcW w:w="1644" w:type="pct"/>
            <w:vAlign w:val="center"/>
          </w:tcPr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Cacao îndulcită, cu conținut foarte scăzut de grăsimi,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Pudră de cacao îndulcită, cu conținut foarte redus de grăsimi,</w:t>
            </w:r>
          </w:p>
          <w:p w:rsidR="00A56C01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F81124" w:rsidRPr="00C35AF3" w:rsidRDefault="00A56C01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Ciocolată de băut cu conținu foarte redus de grăsimi</w:t>
            </w:r>
          </w:p>
        </w:tc>
      </w:tr>
      <w:tr w:rsidR="00F81124" w:rsidRPr="00C35AF3" w:rsidTr="00063932">
        <w:trPr>
          <w:trHeight w:val="879"/>
        </w:trPr>
        <w:tc>
          <w:tcPr>
            <w:tcW w:w="411" w:type="pct"/>
            <w:vMerge/>
          </w:tcPr>
          <w:p w:rsidR="00F81124" w:rsidRPr="00C35AF3" w:rsidRDefault="00F81124" w:rsidP="0046509D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F81124" w:rsidRPr="00C35AF3" w:rsidRDefault="00F643A3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&lt;20% m/m</w:t>
            </w:r>
          </w:p>
        </w:tc>
        <w:tc>
          <w:tcPr>
            <w:tcW w:w="890" w:type="pct"/>
            <w:vAlign w:val="center"/>
          </w:tcPr>
          <w:p w:rsidR="00332126" w:rsidRPr="00C35AF3" w:rsidRDefault="00332126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de cacao îndulcit,</w:t>
            </w:r>
          </w:p>
          <w:p w:rsidR="00332126" w:rsidRPr="00C35AF3" w:rsidRDefault="00332126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332126" w:rsidRPr="00C35AF3" w:rsidRDefault="00332126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cacao</w:t>
            </w:r>
          </w:p>
        </w:tc>
        <w:tc>
          <w:tcPr>
            <w:tcW w:w="1438" w:type="pct"/>
            <w:vAlign w:val="center"/>
          </w:tcPr>
          <w:p w:rsidR="00F81124" w:rsidRPr="00C35AF3" w:rsidRDefault="00332126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de cacao îndulcit,</w:t>
            </w:r>
            <w:r w:rsidR="005D7A33"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cu conținut redus de grăsimi</w:t>
            </w: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32126" w:rsidRPr="00C35AF3" w:rsidRDefault="00332126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332126" w:rsidRPr="00C35AF3" w:rsidRDefault="005D7A3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cacao, cu conținut redus de grăsimi</w:t>
            </w:r>
          </w:p>
        </w:tc>
        <w:tc>
          <w:tcPr>
            <w:tcW w:w="1644" w:type="pct"/>
            <w:vAlign w:val="center"/>
          </w:tcPr>
          <w:p w:rsidR="005D7A33" w:rsidRPr="00C35AF3" w:rsidRDefault="005D7A3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de cacao îndulcit, cu conținut foarte redus de grăsimi,</w:t>
            </w:r>
          </w:p>
          <w:p w:rsidR="005D7A33" w:rsidRPr="00C35AF3" w:rsidRDefault="005D7A3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sau</w:t>
            </w:r>
          </w:p>
          <w:p w:rsidR="00F81124" w:rsidRPr="00C35AF3" w:rsidRDefault="005D7A3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cacao, cu conținut foarte redus de grăsimi</w:t>
            </w:r>
          </w:p>
        </w:tc>
      </w:tr>
      <w:tr w:rsidR="00F81124" w:rsidRPr="00C35AF3" w:rsidTr="00063932">
        <w:trPr>
          <w:trHeight w:val="70"/>
        </w:trPr>
        <w:tc>
          <w:tcPr>
            <w:tcW w:w="411" w:type="pct"/>
            <w:vMerge/>
          </w:tcPr>
          <w:p w:rsidR="00F81124" w:rsidRPr="00C35AF3" w:rsidRDefault="00F81124" w:rsidP="0046509D">
            <w:pPr>
              <w:pStyle w:val="Listparagraf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F81124" w:rsidRPr="00C35AF3" w:rsidRDefault="00F643A3" w:rsidP="00F643A3">
            <w:pPr>
              <w:pStyle w:val="Listparagraf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&lt;20% m/m</w:t>
            </w:r>
          </w:p>
        </w:tc>
        <w:tc>
          <w:tcPr>
            <w:tcW w:w="890" w:type="pct"/>
            <w:vAlign w:val="center"/>
          </w:tcPr>
          <w:p w:rsidR="00F81124" w:rsidRPr="00C35AF3" w:rsidRDefault="00AC282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aromă de cacao</w:t>
            </w:r>
          </w:p>
        </w:tc>
        <w:tc>
          <w:tcPr>
            <w:tcW w:w="1438" w:type="pct"/>
            <w:vAlign w:val="center"/>
          </w:tcPr>
          <w:p w:rsidR="00F81124" w:rsidRPr="00C35AF3" w:rsidRDefault="00AC282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aromă de cacao, cu conținut redus de grăsimi</w:t>
            </w:r>
          </w:p>
        </w:tc>
        <w:tc>
          <w:tcPr>
            <w:tcW w:w="1644" w:type="pct"/>
            <w:vAlign w:val="center"/>
          </w:tcPr>
          <w:p w:rsidR="00F81124" w:rsidRPr="00C35AF3" w:rsidRDefault="00AC2823" w:rsidP="006D4375">
            <w:pPr>
              <w:pStyle w:val="Listparagraf"/>
              <w:tabs>
                <w:tab w:val="left" w:pos="1134"/>
              </w:tabs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5A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Amestec îndulcit cu aromă de cacao, cu conținut foarte redus de cacao</w:t>
            </w:r>
          </w:p>
        </w:tc>
      </w:tr>
    </w:tbl>
    <w:p w:rsidR="0046509D" w:rsidRPr="00B91FB5" w:rsidRDefault="0046509D" w:rsidP="00B91F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332F" w:rsidRDefault="007072BD" w:rsidP="00EF73D7">
      <w:pPr>
        <w:pStyle w:val="Listparagraf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Anexa nr.3 „</w:t>
      </w:r>
      <w:r w:rsidRPr="007072B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Declarație de conformitate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 se abrogă.</w:t>
      </w:r>
    </w:p>
    <w:p w:rsidR="00B91FB5" w:rsidRPr="00D33A5B" w:rsidRDefault="00B91FB5" w:rsidP="00B91FB5">
      <w:pPr>
        <w:pStyle w:val="Listparagra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2AD6" w:rsidRPr="00870ABE" w:rsidRDefault="00B91FB5" w:rsidP="00994951">
      <w:pPr>
        <w:pStyle w:val="Listparagraf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Prezenta Hotărâre intră în vigoare la </w:t>
      </w:r>
      <w:r w:rsidR="00FE0E29" w:rsidRPr="00870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expirarea a </w:t>
      </w:r>
      <w:r w:rsidRPr="00870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luni de la data publicării în Monitorul Oficial al Republicii Moldova.</w:t>
      </w:r>
    </w:p>
    <w:p w:rsidR="006A23E4" w:rsidRDefault="006A23E4" w:rsidP="006A23E4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23E4" w:rsidRDefault="006A23E4" w:rsidP="006A23E4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E29" w:rsidRPr="007B7656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6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Prim-ministru               </w:t>
      </w:r>
      <w:r w:rsidR="007B76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7B76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Dorin RECEAN</w:t>
      </w: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Contrasemnează:</w:t>
      </w: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Viceprim-ministru,</w:t>
      </w:r>
    </w:p>
    <w:p w:rsidR="00FE0E29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Ministrul agriculturii                                                   Vladimir BOLEA</w:t>
      </w:r>
    </w:p>
    <w:p w:rsidR="00FE0E29" w:rsidRPr="00B91FB5" w:rsidRDefault="00FE0E29" w:rsidP="00FE0E29">
      <w:pPr>
        <w:pStyle w:val="Listparagraf"/>
        <w:tabs>
          <w:tab w:val="left" w:pos="5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și industriei alimentare </w:t>
      </w:r>
      <w:bookmarkStart w:id="0" w:name="_GoBack"/>
      <w:bookmarkEnd w:id="0"/>
    </w:p>
    <w:sectPr w:rsidR="00FE0E29" w:rsidRPr="00B91FB5" w:rsidSect="00B45B4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01B1C"/>
    <w:multiLevelType w:val="hybridMultilevel"/>
    <w:tmpl w:val="B61A91A8"/>
    <w:lvl w:ilvl="0" w:tplc="87E4A8A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3D57BA3"/>
    <w:multiLevelType w:val="hybridMultilevel"/>
    <w:tmpl w:val="D2E2B95A"/>
    <w:lvl w:ilvl="0" w:tplc="ACFA9C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A505B"/>
    <w:multiLevelType w:val="hybridMultilevel"/>
    <w:tmpl w:val="E946E342"/>
    <w:lvl w:ilvl="0" w:tplc="CEB0D7C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F327610">
      <w:start w:val="1"/>
      <w:numFmt w:val="decimal"/>
      <w:lvlText w:val="%2)"/>
      <w:lvlJc w:val="left"/>
      <w:pPr>
        <w:ind w:left="1506" w:hanging="36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D10C14"/>
    <w:multiLevelType w:val="hybridMultilevel"/>
    <w:tmpl w:val="F80A3DC8"/>
    <w:lvl w:ilvl="0" w:tplc="B6DA5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C56E6D"/>
    <w:multiLevelType w:val="hybridMultilevel"/>
    <w:tmpl w:val="8C20100C"/>
    <w:lvl w:ilvl="0" w:tplc="229C1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61"/>
    <w:rsid w:val="00051011"/>
    <w:rsid w:val="00063932"/>
    <w:rsid w:val="000A39E1"/>
    <w:rsid w:val="000A5DCA"/>
    <w:rsid w:val="000C7DB3"/>
    <w:rsid w:val="000D214A"/>
    <w:rsid w:val="00147756"/>
    <w:rsid w:val="00163E13"/>
    <w:rsid w:val="001B3653"/>
    <w:rsid w:val="001B6538"/>
    <w:rsid w:val="001D19AA"/>
    <w:rsid w:val="001D2190"/>
    <w:rsid w:val="001D75E2"/>
    <w:rsid w:val="00253E26"/>
    <w:rsid w:val="002876AF"/>
    <w:rsid w:val="002A0D7E"/>
    <w:rsid w:val="002F62CA"/>
    <w:rsid w:val="002F79D9"/>
    <w:rsid w:val="003003C9"/>
    <w:rsid w:val="00312F8A"/>
    <w:rsid w:val="003215DC"/>
    <w:rsid w:val="00332126"/>
    <w:rsid w:val="00344B7E"/>
    <w:rsid w:val="00382D7A"/>
    <w:rsid w:val="00387B9D"/>
    <w:rsid w:val="003C1220"/>
    <w:rsid w:val="003E2C1A"/>
    <w:rsid w:val="004079C3"/>
    <w:rsid w:val="00457979"/>
    <w:rsid w:val="00463CD6"/>
    <w:rsid w:val="0046509D"/>
    <w:rsid w:val="004A7ABE"/>
    <w:rsid w:val="004B20D0"/>
    <w:rsid w:val="004C1B37"/>
    <w:rsid w:val="00517201"/>
    <w:rsid w:val="005473F8"/>
    <w:rsid w:val="005478F0"/>
    <w:rsid w:val="005678D1"/>
    <w:rsid w:val="0058349B"/>
    <w:rsid w:val="005950F2"/>
    <w:rsid w:val="005962F6"/>
    <w:rsid w:val="005C7420"/>
    <w:rsid w:val="005D7A33"/>
    <w:rsid w:val="005F223E"/>
    <w:rsid w:val="0060127F"/>
    <w:rsid w:val="00602AD6"/>
    <w:rsid w:val="006130E1"/>
    <w:rsid w:val="00681D9A"/>
    <w:rsid w:val="006A23E4"/>
    <w:rsid w:val="006C6816"/>
    <w:rsid w:val="006D4375"/>
    <w:rsid w:val="006D4D23"/>
    <w:rsid w:val="006E648A"/>
    <w:rsid w:val="006F5A8C"/>
    <w:rsid w:val="007072BD"/>
    <w:rsid w:val="007117C7"/>
    <w:rsid w:val="007574B8"/>
    <w:rsid w:val="00767CD0"/>
    <w:rsid w:val="00783EE8"/>
    <w:rsid w:val="007914CE"/>
    <w:rsid w:val="007927EC"/>
    <w:rsid w:val="007B398E"/>
    <w:rsid w:val="007B7656"/>
    <w:rsid w:val="007E48D3"/>
    <w:rsid w:val="008053FE"/>
    <w:rsid w:val="008261D0"/>
    <w:rsid w:val="0083582C"/>
    <w:rsid w:val="00865D8B"/>
    <w:rsid w:val="00866A34"/>
    <w:rsid w:val="00867E43"/>
    <w:rsid w:val="00870ABE"/>
    <w:rsid w:val="00871C3A"/>
    <w:rsid w:val="0089036F"/>
    <w:rsid w:val="008B5DAB"/>
    <w:rsid w:val="008E5AA1"/>
    <w:rsid w:val="009128DC"/>
    <w:rsid w:val="00925316"/>
    <w:rsid w:val="00926617"/>
    <w:rsid w:val="00926F94"/>
    <w:rsid w:val="00930273"/>
    <w:rsid w:val="00983D71"/>
    <w:rsid w:val="009B0A97"/>
    <w:rsid w:val="009B3046"/>
    <w:rsid w:val="00A068A9"/>
    <w:rsid w:val="00A277CC"/>
    <w:rsid w:val="00A4193A"/>
    <w:rsid w:val="00A50E06"/>
    <w:rsid w:val="00A56C01"/>
    <w:rsid w:val="00AA0403"/>
    <w:rsid w:val="00AA0B9E"/>
    <w:rsid w:val="00AA29AE"/>
    <w:rsid w:val="00AB3D99"/>
    <w:rsid w:val="00AC2823"/>
    <w:rsid w:val="00AD1CDE"/>
    <w:rsid w:val="00AD2808"/>
    <w:rsid w:val="00AE4C65"/>
    <w:rsid w:val="00AE55D9"/>
    <w:rsid w:val="00AF3461"/>
    <w:rsid w:val="00B112EC"/>
    <w:rsid w:val="00B13B79"/>
    <w:rsid w:val="00B45B42"/>
    <w:rsid w:val="00B91FB5"/>
    <w:rsid w:val="00BD5B46"/>
    <w:rsid w:val="00BE0C1E"/>
    <w:rsid w:val="00BE179D"/>
    <w:rsid w:val="00C03B67"/>
    <w:rsid w:val="00C35AF3"/>
    <w:rsid w:val="00C52510"/>
    <w:rsid w:val="00C90C72"/>
    <w:rsid w:val="00CA7E38"/>
    <w:rsid w:val="00CB0BE4"/>
    <w:rsid w:val="00CC25F1"/>
    <w:rsid w:val="00CC5C97"/>
    <w:rsid w:val="00CE0D9A"/>
    <w:rsid w:val="00CE7801"/>
    <w:rsid w:val="00D038BF"/>
    <w:rsid w:val="00D1193A"/>
    <w:rsid w:val="00D172BE"/>
    <w:rsid w:val="00D33A5B"/>
    <w:rsid w:val="00D4754F"/>
    <w:rsid w:val="00D47E04"/>
    <w:rsid w:val="00D70761"/>
    <w:rsid w:val="00DA430E"/>
    <w:rsid w:val="00E03408"/>
    <w:rsid w:val="00E12DAD"/>
    <w:rsid w:val="00E14976"/>
    <w:rsid w:val="00E16528"/>
    <w:rsid w:val="00E4332F"/>
    <w:rsid w:val="00E8579F"/>
    <w:rsid w:val="00E90D9E"/>
    <w:rsid w:val="00E93D46"/>
    <w:rsid w:val="00EB0127"/>
    <w:rsid w:val="00EC680F"/>
    <w:rsid w:val="00EE2852"/>
    <w:rsid w:val="00EF43FF"/>
    <w:rsid w:val="00EF73D7"/>
    <w:rsid w:val="00F04474"/>
    <w:rsid w:val="00F06613"/>
    <w:rsid w:val="00F35E05"/>
    <w:rsid w:val="00F45CD0"/>
    <w:rsid w:val="00F532D2"/>
    <w:rsid w:val="00F643A3"/>
    <w:rsid w:val="00F6497A"/>
    <w:rsid w:val="00F81124"/>
    <w:rsid w:val="00F91F6D"/>
    <w:rsid w:val="00FA2791"/>
    <w:rsid w:val="00FA6357"/>
    <w:rsid w:val="00FA7D0C"/>
    <w:rsid w:val="00FB0593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9003-F688-4633-93F3-797DE2F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02AD6"/>
    <w:pPr>
      <w:ind w:left="720"/>
      <w:contextualSpacing/>
    </w:pPr>
  </w:style>
  <w:style w:type="table" w:styleId="Tabelgril">
    <w:name w:val="Table Grid"/>
    <w:basedOn w:val="TabelNormal"/>
    <w:uiPriority w:val="39"/>
    <w:rsid w:val="00CB0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E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7CE7-026B-4241-A8B7-53167F49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5</Pages>
  <Words>1841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CIUBEICA</dc:creator>
  <cp:keywords/>
  <dc:description/>
  <cp:lastModifiedBy>Cristina CIUBEICA</cp:lastModifiedBy>
  <cp:revision>39</cp:revision>
  <cp:lastPrinted>2024-03-05T12:56:00Z</cp:lastPrinted>
  <dcterms:created xsi:type="dcterms:W3CDTF">2024-03-05T12:58:00Z</dcterms:created>
  <dcterms:modified xsi:type="dcterms:W3CDTF">2024-03-26T08:34:00Z</dcterms:modified>
</cp:coreProperties>
</file>