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5AB1D" w14:textId="77777777" w:rsidR="0009316C" w:rsidRDefault="00000000">
      <w:pPr>
        <w:tabs>
          <w:tab w:val="center" w:pos="6786"/>
        </w:tabs>
        <w:spacing w:after="0" w:line="240" w:lineRule="auto"/>
        <w:rPr>
          <w:b/>
          <w:i/>
          <w:sz w:val="20"/>
          <w:szCs w:val="20"/>
        </w:rPr>
      </w:pPr>
      <w:r>
        <w:rPr>
          <w:b/>
          <w:i/>
          <w:sz w:val="20"/>
          <w:szCs w:val="20"/>
        </w:rPr>
        <w:tab/>
        <w:t>Tabel cu propuneri pentru pachetele de dereglementare nr. 7 (Legi)</w:t>
      </w:r>
    </w:p>
    <w:p w14:paraId="0B126C0D" w14:textId="3A4E80D9" w:rsidR="0009316C" w:rsidRDefault="004C2F16">
      <w:pPr>
        <w:tabs>
          <w:tab w:val="center" w:pos="6786"/>
        </w:tabs>
        <w:spacing w:after="0" w:line="240" w:lineRule="auto"/>
        <w:rPr>
          <w:b/>
          <w:i/>
          <w:sz w:val="20"/>
          <w:szCs w:val="20"/>
        </w:rPr>
      </w:pPr>
      <w:r>
        <w:rPr>
          <w:b/>
          <w:i/>
          <w:sz w:val="20"/>
          <w:szCs w:val="20"/>
        </w:rPr>
        <w:t>Data: 19.03.2024</w:t>
      </w:r>
    </w:p>
    <w:p w14:paraId="3DA632DE" w14:textId="77777777" w:rsidR="004C2F16" w:rsidRDefault="004C2F16">
      <w:pPr>
        <w:tabs>
          <w:tab w:val="center" w:pos="6786"/>
        </w:tabs>
        <w:spacing w:after="0" w:line="240" w:lineRule="auto"/>
        <w:rPr>
          <w:b/>
          <w:i/>
          <w:sz w:val="20"/>
          <w:szCs w:val="20"/>
        </w:rPr>
      </w:pPr>
    </w:p>
    <w:tbl>
      <w:tblPr>
        <w:tblStyle w:val="a0"/>
        <w:tblW w:w="1496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5757"/>
        <w:gridCol w:w="1170"/>
        <w:gridCol w:w="4140"/>
        <w:gridCol w:w="3330"/>
      </w:tblGrid>
      <w:tr w:rsidR="000E426E" w14:paraId="5B59F2FB" w14:textId="77777777" w:rsidTr="008F77D9">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BDD7EE"/>
          </w:tcPr>
          <w:p w14:paraId="5CC7F381" w14:textId="77777777" w:rsidR="000E426E" w:rsidRDefault="000E426E">
            <w:pPr>
              <w:spacing w:after="0" w:line="240" w:lineRule="auto"/>
              <w:jc w:val="center"/>
              <w:rPr>
                <w:sz w:val="20"/>
                <w:szCs w:val="20"/>
              </w:rPr>
            </w:pPr>
            <w:r>
              <w:rPr>
                <w:sz w:val="20"/>
                <w:szCs w:val="20"/>
              </w:rPr>
              <w:t>Nr.</w:t>
            </w:r>
          </w:p>
        </w:tc>
        <w:tc>
          <w:tcPr>
            <w:tcW w:w="5757" w:type="dxa"/>
            <w:tcBorders>
              <w:top w:val="single" w:sz="4" w:space="0" w:color="000000"/>
              <w:left w:val="single" w:sz="4" w:space="0" w:color="000000"/>
              <w:bottom w:val="single" w:sz="4" w:space="0" w:color="000000"/>
              <w:right w:val="single" w:sz="4" w:space="0" w:color="000000"/>
            </w:tcBorders>
            <w:shd w:val="clear" w:color="auto" w:fill="BDD7EE"/>
          </w:tcPr>
          <w:p w14:paraId="7DD59252" w14:textId="77777777" w:rsidR="000E426E" w:rsidRDefault="000E426E">
            <w:pPr>
              <w:spacing w:after="0" w:line="240" w:lineRule="auto"/>
              <w:jc w:val="center"/>
              <w:rPr>
                <w:b/>
                <w:sz w:val="20"/>
                <w:szCs w:val="20"/>
              </w:rPr>
            </w:pPr>
            <w:r>
              <w:rPr>
                <w:b/>
                <w:sz w:val="20"/>
                <w:szCs w:val="20"/>
              </w:rPr>
              <w:t>Problema/raționamentul intervenției</w:t>
            </w:r>
          </w:p>
        </w:tc>
        <w:tc>
          <w:tcPr>
            <w:tcW w:w="1170" w:type="dxa"/>
            <w:tcBorders>
              <w:top w:val="single" w:sz="4" w:space="0" w:color="000000"/>
              <w:left w:val="single" w:sz="4" w:space="0" w:color="000000"/>
              <w:bottom w:val="single" w:sz="4" w:space="0" w:color="000000"/>
              <w:right w:val="single" w:sz="4" w:space="0" w:color="000000"/>
            </w:tcBorders>
            <w:shd w:val="clear" w:color="auto" w:fill="BDD7EE"/>
          </w:tcPr>
          <w:p w14:paraId="055B5AAA" w14:textId="77777777" w:rsidR="000E426E" w:rsidRDefault="000E426E">
            <w:pPr>
              <w:spacing w:after="0" w:line="240" w:lineRule="auto"/>
              <w:jc w:val="center"/>
              <w:rPr>
                <w:b/>
                <w:sz w:val="20"/>
                <w:szCs w:val="20"/>
              </w:rPr>
            </w:pPr>
            <w:r>
              <w:rPr>
                <w:b/>
                <w:sz w:val="20"/>
                <w:szCs w:val="20"/>
              </w:rPr>
              <w:t>Sursa</w:t>
            </w:r>
          </w:p>
        </w:tc>
        <w:tc>
          <w:tcPr>
            <w:tcW w:w="4140" w:type="dxa"/>
            <w:tcBorders>
              <w:top w:val="single" w:sz="4" w:space="0" w:color="000000"/>
              <w:left w:val="single" w:sz="4" w:space="0" w:color="000000"/>
              <w:bottom w:val="single" w:sz="4" w:space="0" w:color="000000"/>
              <w:right w:val="single" w:sz="4" w:space="0" w:color="000000"/>
            </w:tcBorders>
            <w:shd w:val="clear" w:color="auto" w:fill="BDD7EE"/>
          </w:tcPr>
          <w:p w14:paraId="1CB1DD70" w14:textId="77777777" w:rsidR="000E426E" w:rsidRDefault="000E426E">
            <w:pPr>
              <w:spacing w:after="0" w:line="240" w:lineRule="auto"/>
              <w:jc w:val="center"/>
              <w:rPr>
                <w:b/>
                <w:sz w:val="20"/>
                <w:szCs w:val="20"/>
              </w:rPr>
            </w:pPr>
            <w:r>
              <w:rPr>
                <w:b/>
                <w:sz w:val="20"/>
                <w:szCs w:val="20"/>
              </w:rPr>
              <w:t>Soluția, modificări în acte normative</w:t>
            </w:r>
          </w:p>
        </w:tc>
        <w:tc>
          <w:tcPr>
            <w:tcW w:w="3330" w:type="dxa"/>
            <w:tcBorders>
              <w:top w:val="single" w:sz="4" w:space="0" w:color="000000"/>
              <w:left w:val="single" w:sz="4" w:space="0" w:color="000000"/>
              <w:bottom w:val="single" w:sz="4" w:space="0" w:color="000000"/>
              <w:right w:val="single" w:sz="4" w:space="0" w:color="000000"/>
            </w:tcBorders>
            <w:shd w:val="clear" w:color="auto" w:fill="BDD7EE"/>
          </w:tcPr>
          <w:p w14:paraId="6E88D592" w14:textId="77777777" w:rsidR="000E426E" w:rsidRDefault="000E426E">
            <w:pPr>
              <w:spacing w:after="0" w:line="240" w:lineRule="auto"/>
              <w:jc w:val="center"/>
              <w:rPr>
                <w:b/>
                <w:sz w:val="20"/>
                <w:szCs w:val="20"/>
              </w:rPr>
            </w:pPr>
            <w:r>
              <w:rPr>
                <w:b/>
                <w:sz w:val="20"/>
                <w:szCs w:val="20"/>
              </w:rPr>
              <w:t>Impactul/rezultatul urmărit</w:t>
            </w:r>
          </w:p>
        </w:tc>
      </w:tr>
      <w:tr w:rsidR="00B66399" w14:paraId="401F4907"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174EABBE" w14:textId="77777777" w:rsidR="00B66399" w:rsidRDefault="00B66399" w:rsidP="0055619C">
            <w:pPr>
              <w:spacing w:after="0" w:line="240" w:lineRule="auto"/>
              <w:jc w:val="center"/>
              <w:rPr>
                <w:sz w:val="20"/>
                <w:szCs w:val="20"/>
              </w:rPr>
            </w:pPr>
            <w:r>
              <w:rPr>
                <w:b/>
                <w:sz w:val="20"/>
                <w:szCs w:val="20"/>
              </w:rPr>
              <w:t>DOMENIUL – DIGITALIZAREA RAPORTURILOR CORPORATIVE</w:t>
            </w:r>
          </w:p>
        </w:tc>
      </w:tr>
      <w:tr w:rsidR="000E426E" w14:paraId="77A8D48C"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4218E19A" w14:textId="77777777" w:rsidR="000E426E" w:rsidRDefault="000E426E">
            <w:pPr>
              <w:numPr>
                <w:ilvl w:val="0"/>
                <w:numId w:val="1"/>
              </w:numP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4F93A28B" w14:textId="77777777" w:rsidR="000E426E" w:rsidRDefault="000E426E">
            <w:pPr>
              <w:spacing w:after="0" w:line="240" w:lineRule="auto"/>
              <w:jc w:val="both"/>
              <w:rPr>
                <w:color w:val="000000"/>
                <w:sz w:val="20"/>
                <w:szCs w:val="20"/>
              </w:rPr>
            </w:pPr>
            <w:r>
              <w:rPr>
                <w:color w:val="000000"/>
                <w:sz w:val="20"/>
                <w:szCs w:val="20"/>
              </w:rPr>
              <w:t xml:space="preserve">Art. 56 alin. (4) din Legea SA nr. 1134/1997 prevede: “Actul de reprezentare la adunarea generală eliberat de acţionari persoane fizice </w:t>
            </w:r>
            <w:r>
              <w:rPr>
                <w:b/>
                <w:color w:val="000000"/>
                <w:sz w:val="20"/>
                <w:szCs w:val="20"/>
              </w:rPr>
              <w:t>poate fi autentificat de notar sau de administraţia organizaţiei de la locul de muncă, de studii sau de trai al acţionarului, iar pentru pensionari, de organul de asistenţă socială de la locul de trai</w:t>
            </w:r>
            <w:r>
              <w:rPr>
                <w:color w:val="000000"/>
                <w:sz w:val="20"/>
                <w:szCs w:val="20"/>
              </w:rPr>
              <w:t>, cu excepţiile stabilite la alin.(5) şi (6)”.</w:t>
            </w:r>
          </w:p>
          <w:p w14:paraId="6DCF80EA" w14:textId="77777777" w:rsidR="000E426E" w:rsidRDefault="000E426E">
            <w:pPr>
              <w:spacing w:after="0" w:line="240" w:lineRule="auto"/>
              <w:jc w:val="both"/>
              <w:rPr>
                <w:color w:val="000000"/>
                <w:sz w:val="20"/>
                <w:szCs w:val="20"/>
              </w:rPr>
            </w:pPr>
            <w:r>
              <w:rPr>
                <w:color w:val="000000"/>
                <w:sz w:val="20"/>
                <w:szCs w:val="20"/>
              </w:rPr>
              <w:t>Această normă obligă acţionarul-persoană fizică care doreşte să participe, sau nu are altă posibilitate să participe la adunarea generală a acţionarilor decât prin reprezentant, să meargă la notar sau la administraţia organizaţiei de la locul de muncă, de studii sau de trai/organul de asistenţă socială pentru perfectarea procurii pentru reprezentant.</w:t>
            </w:r>
          </w:p>
          <w:p w14:paraId="4C9189B8" w14:textId="77777777" w:rsidR="000E426E" w:rsidRDefault="000E426E">
            <w:pPr>
              <w:spacing w:after="0" w:line="240" w:lineRule="auto"/>
              <w:jc w:val="both"/>
              <w:rPr>
                <w:color w:val="000000"/>
                <w:sz w:val="20"/>
                <w:szCs w:val="20"/>
              </w:rPr>
            </w:pPr>
            <w:r>
              <w:rPr>
                <w:color w:val="000000"/>
                <w:sz w:val="20"/>
                <w:szCs w:val="20"/>
              </w:rPr>
              <w:t>Asemenea situaţie implică un disconfort logistic şi financiar, ceea ce descurajează participarea activă a acţionarilor în administrarea societăţii pe acţiuni şi protejarea intereselor lor legitime.</w:t>
            </w:r>
          </w:p>
          <w:p w14:paraId="065D234D" w14:textId="77777777" w:rsidR="000E426E" w:rsidRDefault="000E426E">
            <w:pPr>
              <w:spacing w:after="0" w:line="240" w:lineRule="auto"/>
              <w:jc w:val="both"/>
              <w:rPr>
                <w:color w:val="000000"/>
                <w:sz w:val="20"/>
                <w:szCs w:val="20"/>
              </w:rPr>
            </w:pPr>
            <w:r>
              <w:rPr>
                <w:color w:val="000000"/>
                <w:sz w:val="20"/>
                <w:szCs w:val="20"/>
              </w:rPr>
              <w:t>Motivul pentru care a fost inclusă cerinţa de autentificare a procurii este prevenirea fraudelor, însă această preocupare nu este valabilă în cazul procurii semnate cu semnătură electronică calificată.</w:t>
            </w:r>
          </w:p>
        </w:tc>
        <w:tc>
          <w:tcPr>
            <w:tcW w:w="1170" w:type="dxa"/>
            <w:tcBorders>
              <w:top w:val="single" w:sz="4" w:space="0" w:color="000000"/>
              <w:left w:val="single" w:sz="4" w:space="0" w:color="000000"/>
              <w:bottom w:val="single" w:sz="4" w:space="0" w:color="000000"/>
              <w:right w:val="single" w:sz="4" w:space="0" w:color="000000"/>
            </w:tcBorders>
          </w:tcPr>
          <w:p w14:paraId="3E1FF114" w14:textId="77777777" w:rsidR="000E426E" w:rsidRDefault="000E426E">
            <w:pPr>
              <w:spacing w:after="0" w:line="240" w:lineRule="auto"/>
              <w:jc w:val="center"/>
              <w:rPr>
                <w:sz w:val="20"/>
                <w:szCs w:val="20"/>
              </w:rPr>
            </w:pPr>
            <w:r>
              <w:rPr>
                <w:sz w:val="20"/>
                <w:szCs w:val="20"/>
              </w:rPr>
              <w:t>ATIC</w:t>
            </w:r>
          </w:p>
        </w:tc>
        <w:tc>
          <w:tcPr>
            <w:tcW w:w="4140" w:type="dxa"/>
            <w:tcBorders>
              <w:top w:val="single" w:sz="4" w:space="0" w:color="000000"/>
              <w:left w:val="single" w:sz="4" w:space="0" w:color="000000"/>
              <w:bottom w:val="single" w:sz="4" w:space="0" w:color="000000"/>
              <w:right w:val="single" w:sz="4" w:space="0" w:color="000000"/>
            </w:tcBorders>
          </w:tcPr>
          <w:p w14:paraId="6A705744" w14:textId="77777777" w:rsidR="000E426E" w:rsidRDefault="000E426E">
            <w:pPr>
              <w:spacing w:after="0" w:line="240" w:lineRule="auto"/>
              <w:jc w:val="both"/>
              <w:rPr>
                <w:color w:val="000000"/>
                <w:sz w:val="20"/>
                <w:szCs w:val="20"/>
              </w:rPr>
            </w:pPr>
            <w:bookmarkStart w:id="0" w:name="_heading=h.gjdgxs" w:colFirst="0" w:colLast="0"/>
            <w:bookmarkEnd w:id="0"/>
            <w:r>
              <w:rPr>
                <w:color w:val="000000"/>
                <w:sz w:val="20"/>
                <w:szCs w:val="20"/>
              </w:rPr>
              <w:t xml:space="preserve">Se propune următoarea redacţie: “Actul de reprezentare la adunarea generală eliberat de acţionari persoane fizice va fi autentificat de notar sau de administraţia organizaţiei de la locul de muncă, de studii sau de trai al acţionarului, iar pentru pensionari, de organul de asistenţă socială de la locul de trai, </w:t>
            </w:r>
            <w:r>
              <w:rPr>
                <w:b/>
                <w:color w:val="000000"/>
                <w:sz w:val="20"/>
                <w:szCs w:val="20"/>
              </w:rPr>
              <w:t>cu excepţia cazului în care este semnat cu semnătură electronică calificată, precum şi</w:t>
            </w:r>
            <w:r>
              <w:rPr>
                <w:color w:val="000000"/>
                <w:sz w:val="20"/>
                <w:szCs w:val="20"/>
              </w:rPr>
              <w:t xml:space="preserve"> cu excepţiile stabilite la alin.(5) şi (6)”.</w:t>
            </w:r>
          </w:p>
          <w:p w14:paraId="72D0C516" w14:textId="77777777" w:rsidR="000E426E" w:rsidRDefault="000E426E">
            <w:pPr>
              <w:spacing w:after="0" w:line="240" w:lineRule="auto"/>
              <w:jc w:val="both"/>
              <w:rPr>
                <w:color w:val="000000"/>
                <w:sz w:val="20"/>
                <w:szCs w:val="20"/>
              </w:rPr>
            </w:pPr>
            <w:r>
              <w:rPr>
                <w:color w:val="000000"/>
                <w:sz w:val="20"/>
                <w:szCs w:val="20"/>
              </w:rPr>
              <w:t xml:space="preserve">Alternativ - împuterniciri de reprezentare în baza semnăturii electronice (MPower), </w:t>
            </w:r>
          </w:p>
        </w:tc>
        <w:tc>
          <w:tcPr>
            <w:tcW w:w="3330" w:type="dxa"/>
            <w:tcBorders>
              <w:top w:val="single" w:sz="4" w:space="0" w:color="000000"/>
              <w:left w:val="single" w:sz="4" w:space="0" w:color="000000"/>
              <w:bottom w:val="single" w:sz="4" w:space="0" w:color="000000"/>
              <w:right w:val="single" w:sz="4" w:space="0" w:color="000000"/>
            </w:tcBorders>
          </w:tcPr>
          <w:p w14:paraId="4E25C0B9" w14:textId="77777777" w:rsidR="000E426E" w:rsidRDefault="000E426E">
            <w:pPr>
              <w:spacing w:after="0" w:line="240" w:lineRule="auto"/>
              <w:jc w:val="both"/>
              <w:rPr>
                <w:sz w:val="20"/>
                <w:szCs w:val="20"/>
              </w:rPr>
            </w:pPr>
            <w:r>
              <w:rPr>
                <w:sz w:val="20"/>
                <w:szCs w:val="20"/>
              </w:rPr>
              <w:t xml:space="preserve">Va fi înlăturată o cerinţă birocratică nejustificată, se va reduce costul de desfăşurare a afacerii, va fi facilitată participarea acţionarilor persoanelor fizice, în special a celor minoritari, în administrarea societăţii pe acţiuni, va creşte transparenţa activităţii societăţii pentru acţionari şi gradul de protecţie a acţionarilor.  </w:t>
            </w:r>
          </w:p>
        </w:tc>
      </w:tr>
      <w:tr w:rsidR="000E426E" w14:paraId="5D89E8A4"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22EEFA6B"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b/>
                <w:sz w:val="20"/>
                <w:szCs w:val="20"/>
              </w:rPr>
              <w:t>2</w:t>
            </w:r>
            <w:r>
              <w:rPr>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4509A294" w14:textId="77777777" w:rsidR="000E426E" w:rsidRDefault="000E426E">
            <w:pPr>
              <w:spacing w:after="0" w:line="240" w:lineRule="auto"/>
              <w:jc w:val="both"/>
              <w:rPr>
                <w:color w:val="000000"/>
                <w:sz w:val="20"/>
                <w:szCs w:val="20"/>
              </w:rPr>
            </w:pPr>
            <w:r>
              <w:rPr>
                <w:color w:val="000000"/>
                <w:sz w:val="20"/>
                <w:szCs w:val="20"/>
              </w:rPr>
              <w:t xml:space="preserve">Prima frază din art. 56 alin. (9) Legea SA nr. 1134/1997 prevede: “Lista acţionarilor care participă la adunarea generală va fi semnată de secretarul societăţii ori de membrii comisiei de înregistrare </w:t>
            </w:r>
            <w:r>
              <w:rPr>
                <w:b/>
                <w:color w:val="000000"/>
                <w:sz w:val="20"/>
                <w:szCs w:val="20"/>
              </w:rPr>
              <w:t>ale căror semnături se autentifică de membrii comisiei de cenzori în exerciţiu sau se legalizează de notar</w:t>
            </w:r>
            <w:r>
              <w:rPr>
                <w:color w:val="000000"/>
                <w:sz w:val="20"/>
                <w:szCs w:val="20"/>
              </w:rPr>
              <w:t xml:space="preserve"> şi va fi transmisă comisiei de numărare a voturilor.”</w:t>
            </w:r>
          </w:p>
          <w:p w14:paraId="1DAEDB17" w14:textId="77777777" w:rsidR="000E426E" w:rsidRDefault="000E426E">
            <w:pPr>
              <w:spacing w:after="0" w:line="240" w:lineRule="auto"/>
              <w:jc w:val="both"/>
              <w:rPr>
                <w:color w:val="000000"/>
                <w:sz w:val="20"/>
                <w:szCs w:val="20"/>
              </w:rPr>
            </w:pPr>
            <w:r>
              <w:rPr>
                <w:color w:val="000000"/>
                <w:sz w:val="20"/>
                <w:szCs w:val="20"/>
              </w:rPr>
              <w:t>Motivul pentru care a fost inclusă cerinţa de autentificare a listei este prevenirea fraudelor, însă această preocupare nu este valabilă în cazul listei semnate cu semnătură electronică calificată.</w:t>
            </w:r>
          </w:p>
        </w:tc>
        <w:tc>
          <w:tcPr>
            <w:tcW w:w="1170" w:type="dxa"/>
            <w:tcBorders>
              <w:top w:val="single" w:sz="4" w:space="0" w:color="000000"/>
              <w:left w:val="single" w:sz="4" w:space="0" w:color="000000"/>
              <w:bottom w:val="single" w:sz="4" w:space="0" w:color="000000"/>
              <w:right w:val="single" w:sz="4" w:space="0" w:color="000000"/>
            </w:tcBorders>
          </w:tcPr>
          <w:p w14:paraId="5817B43B" w14:textId="77777777" w:rsidR="000E426E" w:rsidRDefault="000E426E">
            <w:pPr>
              <w:spacing w:after="0" w:line="240" w:lineRule="auto"/>
              <w:jc w:val="center"/>
              <w:rPr>
                <w:sz w:val="20"/>
                <w:szCs w:val="20"/>
              </w:rPr>
            </w:pPr>
            <w:r>
              <w:rPr>
                <w:sz w:val="20"/>
                <w:szCs w:val="20"/>
              </w:rPr>
              <w:t>ATIC</w:t>
            </w:r>
          </w:p>
        </w:tc>
        <w:tc>
          <w:tcPr>
            <w:tcW w:w="4140" w:type="dxa"/>
            <w:tcBorders>
              <w:top w:val="single" w:sz="4" w:space="0" w:color="000000"/>
              <w:left w:val="single" w:sz="4" w:space="0" w:color="000000"/>
              <w:bottom w:val="single" w:sz="4" w:space="0" w:color="000000"/>
              <w:right w:val="single" w:sz="4" w:space="0" w:color="000000"/>
            </w:tcBorders>
          </w:tcPr>
          <w:p w14:paraId="206A2216" w14:textId="77777777" w:rsidR="000E426E" w:rsidRDefault="000E426E">
            <w:pPr>
              <w:spacing w:after="0" w:line="240" w:lineRule="auto"/>
              <w:jc w:val="both"/>
              <w:rPr>
                <w:color w:val="000000"/>
                <w:sz w:val="20"/>
                <w:szCs w:val="20"/>
              </w:rPr>
            </w:pPr>
            <w:r>
              <w:rPr>
                <w:color w:val="000000"/>
                <w:sz w:val="20"/>
                <w:szCs w:val="20"/>
              </w:rPr>
              <w:t xml:space="preserve">Se propune următoarea redacţie: “Lista acţionarilor care participă la adunarea generală va fi semnată de secretarul societăţii ori de membrii comisiei de înregistrare ale căror semnături se autentifică de membrii comisiei de cenzori în exerciţiu sau se legalizează de notar, </w:t>
            </w:r>
            <w:r>
              <w:rPr>
                <w:b/>
                <w:color w:val="000000"/>
                <w:sz w:val="20"/>
                <w:szCs w:val="20"/>
              </w:rPr>
              <w:t>cu excepţia semnăturii electronice calificate</w:t>
            </w:r>
            <w:r>
              <w:rPr>
                <w:color w:val="000000"/>
                <w:sz w:val="20"/>
                <w:szCs w:val="20"/>
              </w:rPr>
              <w:t>, şi va fi transmisă comisiei de numărare a voturilor.”</w:t>
            </w:r>
          </w:p>
        </w:tc>
        <w:tc>
          <w:tcPr>
            <w:tcW w:w="3330" w:type="dxa"/>
            <w:tcBorders>
              <w:top w:val="single" w:sz="4" w:space="0" w:color="000000"/>
              <w:left w:val="single" w:sz="4" w:space="0" w:color="000000"/>
              <w:bottom w:val="single" w:sz="4" w:space="0" w:color="000000"/>
              <w:right w:val="single" w:sz="4" w:space="0" w:color="000000"/>
            </w:tcBorders>
          </w:tcPr>
          <w:p w14:paraId="22AA79FD" w14:textId="77777777" w:rsidR="000E426E" w:rsidRDefault="000E426E">
            <w:pPr>
              <w:spacing w:after="0" w:line="240" w:lineRule="auto"/>
              <w:jc w:val="both"/>
              <w:rPr>
                <w:sz w:val="20"/>
                <w:szCs w:val="20"/>
              </w:rPr>
            </w:pPr>
            <w:r>
              <w:rPr>
                <w:sz w:val="20"/>
                <w:szCs w:val="20"/>
              </w:rPr>
              <w:t>Va fi înlăturată o cerinţă birocratică nejustificată, va fi simplificată guvernanţa corporativă şi se va reduce costul de desfăşurare a afacerii.</w:t>
            </w:r>
          </w:p>
        </w:tc>
      </w:tr>
      <w:tr w:rsidR="000E426E" w14:paraId="3ACBCD73"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EAEB2F3"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t>3</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5F13CB46" w14:textId="77777777" w:rsidR="000E426E" w:rsidRDefault="000E426E">
            <w:pPr>
              <w:spacing w:after="0" w:line="240" w:lineRule="auto"/>
              <w:jc w:val="both"/>
              <w:rPr>
                <w:color w:val="000000"/>
                <w:sz w:val="20"/>
                <w:szCs w:val="20"/>
              </w:rPr>
            </w:pPr>
            <w:r>
              <w:rPr>
                <w:color w:val="000000"/>
                <w:sz w:val="20"/>
                <w:szCs w:val="20"/>
              </w:rPr>
              <w:t xml:space="preserve">Art. 61 alin. (4) Legea SA nr. 1134/1997 prevede: “Dacă votul este deschis, buletinul va fi semnat de acţionar sau de reprezentantul lui, sau de custodele acţiunilor. Dacă votul este dat prin corespondenţă, semnătura acţionarului sau reprezentantului lui legal, sau custodelui </w:t>
            </w:r>
            <w:r>
              <w:rPr>
                <w:color w:val="000000"/>
                <w:sz w:val="20"/>
                <w:szCs w:val="20"/>
              </w:rPr>
              <w:lastRenderedPageBreak/>
              <w:t xml:space="preserve">acţiunilor de pe buletin </w:t>
            </w:r>
            <w:r>
              <w:rPr>
                <w:b/>
                <w:color w:val="000000"/>
                <w:sz w:val="20"/>
                <w:szCs w:val="20"/>
              </w:rPr>
              <w:t>va fi autentificată în modul prevăzut la art.56 alin.(4).”</w:t>
            </w:r>
            <w:r>
              <w:rPr>
                <w:color w:val="000000"/>
                <w:sz w:val="20"/>
                <w:szCs w:val="20"/>
              </w:rPr>
              <w:t xml:space="preserve"> </w:t>
            </w:r>
          </w:p>
          <w:p w14:paraId="156A22B6" w14:textId="77777777" w:rsidR="000E426E" w:rsidRDefault="000E426E">
            <w:pPr>
              <w:spacing w:after="0" w:line="240" w:lineRule="auto"/>
              <w:jc w:val="both"/>
              <w:rPr>
                <w:color w:val="000000"/>
                <w:sz w:val="20"/>
                <w:szCs w:val="20"/>
              </w:rPr>
            </w:pPr>
            <w:r>
              <w:rPr>
                <w:color w:val="000000"/>
                <w:sz w:val="20"/>
                <w:szCs w:val="20"/>
              </w:rPr>
              <w:t>Această normă obligă acţionarul-persoană fizică care doreşte să participe să participe la adunarea generală a acţionarilor prin corespondenţă să meargă la notar sau la administraţia organizaţiei de la locul de muncă, de studii sau de trai/organul de asistenţă socială pentru autentificarea semnăturii sale pe buletinul de vot.</w:t>
            </w:r>
          </w:p>
          <w:p w14:paraId="23C25146" w14:textId="77777777" w:rsidR="000E426E" w:rsidRDefault="000E426E">
            <w:pPr>
              <w:spacing w:after="0" w:line="240" w:lineRule="auto"/>
              <w:jc w:val="both"/>
              <w:rPr>
                <w:color w:val="000000"/>
                <w:sz w:val="20"/>
                <w:szCs w:val="20"/>
              </w:rPr>
            </w:pPr>
            <w:r>
              <w:rPr>
                <w:color w:val="000000"/>
                <w:sz w:val="20"/>
                <w:szCs w:val="20"/>
              </w:rPr>
              <w:t>Asemenea situaţie implică un disconfort logistic şi financiar, ceea ce descurajează participarea activă a acţionarilor în administrarea societăţii pe acţiuni şi protejarea intereselor lor legitime.</w:t>
            </w:r>
          </w:p>
          <w:p w14:paraId="70B4A3E6" w14:textId="77777777" w:rsidR="000E426E" w:rsidRDefault="000E426E">
            <w:pPr>
              <w:spacing w:after="0" w:line="240" w:lineRule="auto"/>
              <w:jc w:val="both"/>
              <w:rPr>
                <w:color w:val="000000"/>
                <w:sz w:val="20"/>
                <w:szCs w:val="20"/>
              </w:rPr>
            </w:pPr>
            <w:r>
              <w:rPr>
                <w:color w:val="000000"/>
                <w:sz w:val="20"/>
                <w:szCs w:val="20"/>
              </w:rPr>
              <w:t>Motivul pentru care a fost inclusă cerinţa de autentificare a procurii este prevenirea fraudelor, însă această preocupare nu este valabilă în cazul buletinului de vot semnat cu semnătură electronică calificată.</w:t>
            </w:r>
          </w:p>
        </w:tc>
        <w:tc>
          <w:tcPr>
            <w:tcW w:w="1170" w:type="dxa"/>
            <w:tcBorders>
              <w:top w:val="single" w:sz="4" w:space="0" w:color="000000"/>
              <w:left w:val="single" w:sz="4" w:space="0" w:color="000000"/>
              <w:bottom w:val="single" w:sz="4" w:space="0" w:color="000000"/>
              <w:right w:val="single" w:sz="4" w:space="0" w:color="000000"/>
            </w:tcBorders>
          </w:tcPr>
          <w:p w14:paraId="5D00949B" w14:textId="77777777" w:rsidR="000E426E" w:rsidRDefault="000E426E">
            <w:pPr>
              <w:spacing w:after="0" w:line="240" w:lineRule="auto"/>
              <w:jc w:val="center"/>
              <w:rPr>
                <w:sz w:val="20"/>
                <w:szCs w:val="20"/>
              </w:rPr>
            </w:pPr>
            <w:r>
              <w:rPr>
                <w:sz w:val="20"/>
                <w:szCs w:val="20"/>
              </w:rPr>
              <w:lastRenderedPageBreak/>
              <w:t>ATIC</w:t>
            </w:r>
          </w:p>
        </w:tc>
        <w:tc>
          <w:tcPr>
            <w:tcW w:w="4140" w:type="dxa"/>
            <w:tcBorders>
              <w:top w:val="single" w:sz="4" w:space="0" w:color="000000"/>
              <w:left w:val="single" w:sz="4" w:space="0" w:color="000000"/>
              <w:bottom w:val="single" w:sz="4" w:space="0" w:color="000000"/>
              <w:right w:val="single" w:sz="4" w:space="0" w:color="000000"/>
            </w:tcBorders>
          </w:tcPr>
          <w:p w14:paraId="7A51E76E" w14:textId="77777777" w:rsidR="000E426E" w:rsidRDefault="000E426E">
            <w:pPr>
              <w:spacing w:after="0" w:line="240" w:lineRule="auto"/>
              <w:jc w:val="both"/>
              <w:rPr>
                <w:color w:val="000000"/>
                <w:sz w:val="20"/>
                <w:szCs w:val="20"/>
              </w:rPr>
            </w:pPr>
            <w:r>
              <w:rPr>
                <w:color w:val="000000"/>
                <w:sz w:val="20"/>
                <w:szCs w:val="20"/>
              </w:rPr>
              <w:t xml:space="preserve">Se propune următoarea redacţie: “Dacă votul este deschis, buletinul va fi semnat de acţionar sau de reprezentantul lui, sau de custodele acţiunilor. Dacă votul este dat prin </w:t>
            </w:r>
            <w:r>
              <w:rPr>
                <w:color w:val="000000"/>
                <w:sz w:val="20"/>
                <w:szCs w:val="20"/>
              </w:rPr>
              <w:lastRenderedPageBreak/>
              <w:t xml:space="preserve">corespondenţă, semnătura acţionarului sau reprezentantului lui legal, sau custodelui acţiunilor de pe buletin va fi autentificată în modul prevăzut la art.56 alin.(4), </w:t>
            </w:r>
            <w:r>
              <w:rPr>
                <w:b/>
                <w:color w:val="000000"/>
                <w:sz w:val="20"/>
                <w:szCs w:val="20"/>
              </w:rPr>
              <w:t>cu excepţia semnăturii electronice calificate</w:t>
            </w:r>
            <w:r>
              <w:rPr>
                <w:color w:val="000000"/>
                <w:sz w:val="20"/>
                <w:szCs w:val="20"/>
              </w:rPr>
              <w:t>.”</w:t>
            </w:r>
          </w:p>
        </w:tc>
        <w:tc>
          <w:tcPr>
            <w:tcW w:w="3330" w:type="dxa"/>
            <w:tcBorders>
              <w:top w:val="single" w:sz="4" w:space="0" w:color="000000"/>
              <w:left w:val="single" w:sz="4" w:space="0" w:color="000000"/>
              <w:bottom w:val="single" w:sz="4" w:space="0" w:color="000000"/>
              <w:right w:val="single" w:sz="4" w:space="0" w:color="000000"/>
            </w:tcBorders>
          </w:tcPr>
          <w:p w14:paraId="33286118" w14:textId="77777777" w:rsidR="000E426E" w:rsidRDefault="000E426E">
            <w:pPr>
              <w:spacing w:after="0" w:line="240" w:lineRule="auto"/>
              <w:jc w:val="both"/>
              <w:rPr>
                <w:sz w:val="20"/>
                <w:szCs w:val="20"/>
              </w:rPr>
            </w:pPr>
            <w:r>
              <w:rPr>
                <w:sz w:val="20"/>
                <w:szCs w:val="20"/>
              </w:rPr>
              <w:lastRenderedPageBreak/>
              <w:t xml:space="preserve">Va fi înlăturată o cerinţă birocratică nejustificată, se va reduce costul de desfăşurare a afacerii, va fi facilitată participarea acţionarilor persoanelor </w:t>
            </w:r>
            <w:r>
              <w:rPr>
                <w:sz w:val="20"/>
                <w:szCs w:val="20"/>
              </w:rPr>
              <w:lastRenderedPageBreak/>
              <w:t xml:space="preserve">fizice, în special a celor minoritari, în administrarea societăţii pe acţiuni şi gradul de protecţie a acţionarilor.  </w:t>
            </w:r>
          </w:p>
        </w:tc>
      </w:tr>
      <w:tr w:rsidR="000E426E" w14:paraId="2E3D7FDC"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379582C7"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lastRenderedPageBreak/>
              <w:t>4</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7DC6E980" w14:textId="77777777" w:rsidR="000E426E" w:rsidRDefault="000E426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rPr>
              <w:t xml:space="preserve">Art. </w:t>
            </w:r>
            <w:r>
              <w:rPr>
                <w:color w:val="000000"/>
                <w:sz w:val="20"/>
                <w:szCs w:val="20"/>
                <w:highlight w:val="white"/>
              </w:rPr>
              <w:t xml:space="preserve">63 alin. (1)-(2) </w:t>
            </w:r>
            <w:r>
              <w:rPr>
                <w:color w:val="000000"/>
                <w:sz w:val="20"/>
                <w:szCs w:val="20"/>
              </w:rPr>
              <w:t xml:space="preserve">Legea SA nr. 1134/1997 </w:t>
            </w:r>
            <w:r>
              <w:rPr>
                <w:color w:val="000000"/>
                <w:sz w:val="20"/>
                <w:szCs w:val="20"/>
                <w:highlight w:val="white"/>
              </w:rPr>
              <w:t>stabilesc: </w:t>
            </w:r>
          </w:p>
          <w:p w14:paraId="52F8D234" w14:textId="77777777" w:rsidR="000E426E" w:rsidRDefault="000E426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highlight w:val="white"/>
              </w:rPr>
              <w:t xml:space="preserve">„(1) Rezultatul votului la adunarea generală a acționarilor se înregistrează într-un proces-verbal, care va cuprinde atât numărul total de voturi valabile exprimate "pentru" şi "împotriva" fiecărei hotărâri, cât şi cota-parte a acestora din numărul total de voturi care au fost reprezentate la adunarea generală, precum şi din numărul total de acţiuni cu drept de vot ale societăţii. </w:t>
            </w:r>
            <w:r>
              <w:rPr>
                <w:b/>
                <w:color w:val="000000"/>
                <w:sz w:val="20"/>
                <w:szCs w:val="20"/>
                <w:highlight w:val="white"/>
                <w:u w:val="single"/>
              </w:rPr>
              <w:t>Procesul-verbal se semnează de către membrii comisiei de numărare a voturilor şi de către membrii comisiei de cenzori</w:t>
            </w:r>
            <w:r>
              <w:rPr>
                <w:color w:val="000000"/>
                <w:sz w:val="20"/>
                <w:szCs w:val="20"/>
                <w:highlight w:val="white"/>
              </w:rPr>
              <w:t>.</w:t>
            </w:r>
          </w:p>
          <w:p w14:paraId="2EA4F4BA" w14:textId="77777777" w:rsidR="000E426E" w:rsidRDefault="000E426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highlight w:val="white"/>
              </w:rPr>
              <w:t xml:space="preserve">(2) Procesul-verbal privind rezultatul votului </w:t>
            </w:r>
            <w:r>
              <w:rPr>
                <w:color w:val="000000"/>
                <w:sz w:val="20"/>
                <w:szCs w:val="20"/>
                <w:highlight w:val="white"/>
                <w:u w:val="single"/>
              </w:rPr>
              <w:t>se anexează la procesul-verbal al adunării generale a acţionarilor</w:t>
            </w:r>
            <w:r>
              <w:rPr>
                <w:color w:val="000000"/>
                <w:sz w:val="20"/>
                <w:szCs w:val="20"/>
                <w:highlight w:val="white"/>
              </w:rPr>
              <w:t>.”</w:t>
            </w:r>
          </w:p>
          <w:p w14:paraId="094D4343" w14:textId="77777777" w:rsidR="000E426E" w:rsidRDefault="000E426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highlight w:val="white"/>
              </w:rPr>
              <w:t>Totodată, conform art. 59 alin. (1) comisia de numărare a voturilor se constituie numai dacă la adunarea generală a acționarilor participă peste 50 de persoane cu drept de vot.</w:t>
            </w:r>
          </w:p>
          <w:p w14:paraId="741A23F3" w14:textId="77777777" w:rsidR="000E426E" w:rsidRDefault="000E426E">
            <w:pPr>
              <w:pBdr>
                <w:top w:val="nil"/>
                <w:left w:val="nil"/>
                <w:bottom w:val="nil"/>
                <w:right w:val="nil"/>
                <w:between w:val="nil"/>
              </w:pBdr>
              <w:shd w:val="clear" w:color="auto" w:fill="FFFFFF"/>
              <w:spacing w:after="0" w:line="240" w:lineRule="auto"/>
              <w:jc w:val="both"/>
              <w:rPr>
                <w:color w:val="000000"/>
                <w:sz w:val="20"/>
                <w:szCs w:val="20"/>
              </w:rPr>
            </w:pPr>
            <w:r>
              <w:rPr>
                <w:color w:val="000000"/>
                <w:sz w:val="20"/>
                <w:szCs w:val="20"/>
                <w:highlight w:val="white"/>
              </w:rPr>
              <w:t xml:space="preserve">Astfel, se creează confuzia că, dacă la adunarea generală a acționarilor participă nu mai mult de 50 de persoane cu drept de vot, societatea oricum trebuie să constituie o comisie de numărare a voturilor, care să întocmească procesul-verbal privind rezultatul votului, care să fie semnat de către membrii comisiei de numărare a voturilor şi de către membrii comisiei de cenzori şi anexat la procesul verbal al adunării. </w:t>
            </w:r>
          </w:p>
        </w:tc>
        <w:tc>
          <w:tcPr>
            <w:tcW w:w="1170" w:type="dxa"/>
            <w:tcBorders>
              <w:top w:val="single" w:sz="4" w:space="0" w:color="000000"/>
              <w:left w:val="single" w:sz="4" w:space="0" w:color="000000"/>
              <w:bottom w:val="single" w:sz="4" w:space="0" w:color="000000"/>
              <w:right w:val="single" w:sz="4" w:space="0" w:color="000000"/>
            </w:tcBorders>
          </w:tcPr>
          <w:p w14:paraId="29E20D7A" w14:textId="77777777" w:rsidR="000E426E" w:rsidRDefault="000E426E">
            <w:pPr>
              <w:spacing w:after="0" w:line="240" w:lineRule="auto"/>
              <w:jc w:val="center"/>
              <w:rPr>
                <w:sz w:val="20"/>
                <w:szCs w:val="20"/>
              </w:rPr>
            </w:pPr>
            <w:r>
              <w:rPr>
                <w:sz w:val="20"/>
                <w:szCs w:val="20"/>
              </w:rPr>
              <w:t>ATIC</w:t>
            </w:r>
          </w:p>
        </w:tc>
        <w:tc>
          <w:tcPr>
            <w:tcW w:w="4140" w:type="dxa"/>
            <w:tcBorders>
              <w:top w:val="single" w:sz="4" w:space="0" w:color="000000"/>
              <w:left w:val="single" w:sz="4" w:space="0" w:color="000000"/>
              <w:bottom w:val="single" w:sz="4" w:space="0" w:color="000000"/>
              <w:right w:val="single" w:sz="4" w:space="0" w:color="000000"/>
            </w:tcBorders>
          </w:tcPr>
          <w:p w14:paraId="602BBFE2" w14:textId="77777777" w:rsidR="000E426E" w:rsidRDefault="000E426E">
            <w:pPr>
              <w:spacing w:after="0" w:line="240" w:lineRule="auto"/>
              <w:jc w:val="both"/>
              <w:rPr>
                <w:sz w:val="20"/>
                <w:szCs w:val="20"/>
              </w:rPr>
            </w:pPr>
            <w:r>
              <w:rPr>
                <w:color w:val="000000"/>
                <w:sz w:val="20"/>
                <w:szCs w:val="20"/>
                <w:highlight w:val="white"/>
              </w:rPr>
              <w:t>Se propune introducerea unui alineat nou în următoarea redacţie:</w:t>
            </w:r>
          </w:p>
          <w:p w14:paraId="096D34A5" w14:textId="77777777" w:rsidR="000E426E" w:rsidRDefault="000E426E">
            <w:pPr>
              <w:spacing w:after="0" w:line="240" w:lineRule="auto"/>
              <w:jc w:val="both"/>
              <w:rPr>
                <w:color w:val="000000"/>
                <w:sz w:val="20"/>
                <w:szCs w:val="20"/>
              </w:rPr>
            </w:pPr>
            <w:r>
              <w:rPr>
                <w:sz w:val="20"/>
                <w:szCs w:val="20"/>
              </w:rPr>
              <w:br/>
            </w:r>
            <w:r>
              <w:rPr>
                <w:color w:val="000000"/>
                <w:sz w:val="20"/>
                <w:szCs w:val="20"/>
                <w:highlight w:val="white"/>
              </w:rPr>
              <w:t>„(2</w:t>
            </w:r>
            <w:r>
              <w:rPr>
                <w:color w:val="000000"/>
                <w:sz w:val="20"/>
                <w:szCs w:val="20"/>
                <w:highlight w:val="white"/>
                <w:vertAlign w:val="superscript"/>
              </w:rPr>
              <w:t>1</w:t>
            </w:r>
            <w:r>
              <w:rPr>
                <w:color w:val="000000"/>
                <w:sz w:val="20"/>
                <w:szCs w:val="20"/>
                <w:highlight w:val="white"/>
              </w:rPr>
              <w:t>) Fără a aduce atingere cerinţei prevăzute la art. 63 alin. (1) lit. g), întocmirea şi semnarea procesul-verbal privind rezultatul votului nu este necesară dacă la adunarea generală a acționarilor participă nu mai mult de 50 de persoane cu drept de vot.” </w:t>
            </w:r>
          </w:p>
        </w:tc>
        <w:tc>
          <w:tcPr>
            <w:tcW w:w="3330" w:type="dxa"/>
            <w:tcBorders>
              <w:top w:val="single" w:sz="4" w:space="0" w:color="000000"/>
              <w:left w:val="single" w:sz="4" w:space="0" w:color="000000"/>
              <w:bottom w:val="single" w:sz="4" w:space="0" w:color="000000"/>
              <w:right w:val="single" w:sz="4" w:space="0" w:color="000000"/>
            </w:tcBorders>
          </w:tcPr>
          <w:p w14:paraId="3D8954DD" w14:textId="77777777" w:rsidR="000E426E" w:rsidRDefault="000E426E">
            <w:pPr>
              <w:spacing w:after="0" w:line="240" w:lineRule="auto"/>
              <w:jc w:val="both"/>
              <w:rPr>
                <w:sz w:val="20"/>
                <w:szCs w:val="20"/>
              </w:rPr>
            </w:pPr>
            <w:r>
              <w:rPr>
                <w:sz w:val="20"/>
                <w:szCs w:val="20"/>
              </w:rPr>
              <w:t>Va fi înlăturată o ambiguitate care ar putea complica nejustificat guvernanţa corporativă creşte costul de desfăşurare a afacerii. Astfel, pentru societăţile cu un număr redus de acţionari, se va elimina necesitatea ca la fiecare adunare să fie aleasă o comisie de numărare a voturilor, compusă din cel puţin 3 persoane, şi, suplimentar la procesul-verbal al adunării, să mai fie întocmit un document precum procesul-verbal privind rezultatul votului, semnat de membrii comisiei de numărare a voturilor şi de membrii comisiei de cenzori.  Totodată, în temeiul art. 63 alin. (1) lit. g), societatea va rămâne obligată să reflecte rezultantul votului în procesul verbal al adunării.</w:t>
            </w:r>
          </w:p>
        </w:tc>
      </w:tr>
      <w:tr w:rsidR="000E426E" w14:paraId="2E8D12CA"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85ED405"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lastRenderedPageBreak/>
              <w:t>5</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38F88707" w14:textId="77777777" w:rsidR="000E426E" w:rsidRDefault="000E426E">
            <w:pPr>
              <w:spacing w:after="0" w:line="240" w:lineRule="auto"/>
              <w:jc w:val="both"/>
              <w:rPr>
                <w:sz w:val="20"/>
                <w:szCs w:val="20"/>
              </w:rPr>
            </w:pPr>
            <w:r>
              <w:rPr>
                <w:color w:val="000000"/>
                <w:sz w:val="20"/>
                <w:szCs w:val="20"/>
              </w:rPr>
              <w:t xml:space="preserve">Art. </w:t>
            </w:r>
            <w:r>
              <w:rPr>
                <w:color w:val="000000"/>
                <w:sz w:val="20"/>
                <w:szCs w:val="20"/>
                <w:highlight w:val="white"/>
              </w:rPr>
              <w:t xml:space="preserve">63 alin. (1) </w:t>
            </w:r>
            <w:r>
              <w:rPr>
                <w:color w:val="000000"/>
                <w:sz w:val="20"/>
                <w:szCs w:val="20"/>
              </w:rPr>
              <w:t xml:space="preserve">Legea SA nr. 1134/1997 </w:t>
            </w:r>
            <w:r>
              <w:rPr>
                <w:color w:val="000000"/>
                <w:sz w:val="20"/>
                <w:szCs w:val="20"/>
                <w:highlight w:val="white"/>
              </w:rPr>
              <w:t xml:space="preserve">prevede: “Procesul-verbal al adunării generale a acţionarilor se întocmeşte în termen de până la 10 zile de la închiderea adunării generale, în cel puţin două exemplare. Fiecare exemplar al procesului-verbal va fi semnat de preşedintele şi de secretarul adunării generale </w:t>
            </w:r>
            <w:r>
              <w:rPr>
                <w:b/>
                <w:color w:val="000000"/>
                <w:sz w:val="20"/>
                <w:szCs w:val="20"/>
                <w:highlight w:val="white"/>
                <w:u w:val="single"/>
              </w:rPr>
              <w:t>ale căror semnături se autentifică de membrii comisiei de cenzori în exerciţiu sau se legalizează de notar</w:t>
            </w:r>
            <w:r>
              <w:rPr>
                <w:color w:val="000000"/>
                <w:sz w:val="20"/>
                <w:szCs w:val="20"/>
                <w:highlight w:val="white"/>
              </w:rPr>
              <w:t>”. </w:t>
            </w:r>
          </w:p>
          <w:p w14:paraId="3160EEC3" w14:textId="77777777" w:rsidR="000E426E" w:rsidRDefault="000E426E">
            <w:pPr>
              <w:spacing w:after="0" w:line="240" w:lineRule="auto"/>
              <w:jc w:val="both"/>
              <w:rPr>
                <w:sz w:val="20"/>
                <w:szCs w:val="20"/>
              </w:rPr>
            </w:pPr>
            <w:r>
              <w:rPr>
                <w:color w:val="000000"/>
                <w:sz w:val="20"/>
                <w:szCs w:val="20"/>
              </w:rPr>
              <w:t>Motivul pentru care a fost inclusă cerinţa de autentificare a procesului verbal al adunării generale a acţionarilor este prevenirea fraudelor, însă această preocupare nu este valabilă în cazul procesului verbal semnat cu semnătură electronică calificată.</w:t>
            </w:r>
          </w:p>
        </w:tc>
        <w:tc>
          <w:tcPr>
            <w:tcW w:w="1170" w:type="dxa"/>
            <w:tcBorders>
              <w:top w:val="single" w:sz="4" w:space="0" w:color="000000"/>
              <w:left w:val="single" w:sz="4" w:space="0" w:color="000000"/>
              <w:bottom w:val="single" w:sz="4" w:space="0" w:color="000000"/>
              <w:right w:val="single" w:sz="4" w:space="0" w:color="000000"/>
            </w:tcBorders>
          </w:tcPr>
          <w:p w14:paraId="6EB472CC" w14:textId="77777777" w:rsidR="000E426E" w:rsidRDefault="000E426E">
            <w:pPr>
              <w:spacing w:after="0" w:line="240" w:lineRule="auto"/>
              <w:jc w:val="center"/>
              <w:rPr>
                <w:sz w:val="20"/>
                <w:szCs w:val="20"/>
              </w:rPr>
            </w:pPr>
            <w:r>
              <w:rPr>
                <w:sz w:val="20"/>
                <w:szCs w:val="20"/>
              </w:rPr>
              <w:t>ATIC</w:t>
            </w:r>
          </w:p>
        </w:tc>
        <w:tc>
          <w:tcPr>
            <w:tcW w:w="4140" w:type="dxa"/>
            <w:tcBorders>
              <w:top w:val="single" w:sz="4" w:space="0" w:color="000000"/>
              <w:left w:val="single" w:sz="4" w:space="0" w:color="000000"/>
              <w:bottom w:val="single" w:sz="4" w:space="0" w:color="000000"/>
              <w:right w:val="single" w:sz="4" w:space="0" w:color="000000"/>
            </w:tcBorders>
          </w:tcPr>
          <w:p w14:paraId="1BA4F2A6" w14:textId="77777777" w:rsidR="000E426E" w:rsidRDefault="000E426E">
            <w:pPr>
              <w:spacing w:after="0" w:line="240" w:lineRule="auto"/>
              <w:jc w:val="both"/>
              <w:rPr>
                <w:color w:val="000000"/>
                <w:sz w:val="20"/>
                <w:szCs w:val="20"/>
              </w:rPr>
            </w:pPr>
            <w:r>
              <w:rPr>
                <w:color w:val="000000"/>
                <w:sz w:val="20"/>
                <w:szCs w:val="20"/>
                <w:highlight w:val="white"/>
              </w:rPr>
              <w:t>Se propune următoarea redacţie: „Procesul-verbal al adunării generale a acţionarilor se întocmeşte în termen de până la 10 zile de la închiderea adunării generale, în cel puţin două exemplare. Fiecare exemplar al procesului-verbal va fi semnat de preşedintele şi de secretarul adunării generale ale căror semnături se autentifică de membrii comisiei de cenzori în exerciţiu sau se legalizează de notar,</w:t>
            </w:r>
            <w:r>
              <w:rPr>
                <w:b/>
                <w:color w:val="000000"/>
                <w:sz w:val="20"/>
                <w:szCs w:val="20"/>
                <w:highlight w:val="white"/>
                <w:u w:val="single"/>
              </w:rPr>
              <w:t xml:space="preserve"> cu excepţia semnăturii electronice calificate</w:t>
            </w:r>
            <w:r>
              <w:rPr>
                <w:color w:val="000000"/>
                <w:sz w:val="20"/>
                <w:szCs w:val="20"/>
                <w:highlight w:val="white"/>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21FD8B92" w14:textId="77777777" w:rsidR="000E426E" w:rsidRDefault="000E426E">
            <w:pPr>
              <w:spacing w:after="0" w:line="240" w:lineRule="auto"/>
              <w:jc w:val="both"/>
              <w:rPr>
                <w:sz w:val="20"/>
                <w:szCs w:val="20"/>
              </w:rPr>
            </w:pPr>
            <w:r>
              <w:rPr>
                <w:color w:val="000000"/>
                <w:sz w:val="20"/>
                <w:szCs w:val="20"/>
              </w:rPr>
              <w:t>Va fi înlăturată o cerinţă birocratică nejustificată, va fi simplificată guvernanţa corporativă (procesul verbal va trebui semnat doar de două persoane în loc de cinci şi mai multe) şi se va reduce timpul necesar pentru perfectarea procesului verbal şi costul de desfăşurare a afacerii.</w:t>
            </w:r>
          </w:p>
        </w:tc>
      </w:tr>
      <w:tr w:rsidR="00434061" w14:paraId="43514675"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5A38779A" w14:textId="77777777" w:rsidR="00434061" w:rsidRDefault="00434061" w:rsidP="0055619C">
            <w:pPr>
              <w:spacing w:after="0" w:line="240" w:lineRule="auto"/>
              <w:jc w:val="center"/>
              <w:rPr>
                <w:b/>
                <w:sz w:val="20"/>
                <w:szCs w:val="20"/>
              </w:rPr>
            </w:pPr>
            <w:r>
              <w:rPr>
                <w:b/>
                <w:sz w:val="20"/>
                <w:szCs w:val="20"/>
              </w:rPr>
              <w:t>DOMENIUL – CONSTRUCȚII, ÎNREGISTRAREA BUNURILOR IMOBILE</w:t>
            </w:r>
          </w:p>
        </w:tc>
      </w:tr>
      <w:tr w:rsidR="000E426E" w14:paraId="0962CEB3"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4CD85E05"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t>6</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239BCD25" w14:textId="77777777" w:rsidR="000E426E" w:rsidRDefault="000E426E">
            <w:pPr>
              <w:spacing w:after="0" w:line="240" w:lineRule="auto"/>
              <w:jc w:val="both"/>
              <w:rPr>
                <w:color w:val="000000"/>
                <w:sz w:val="20"/>
                <w:szCs w:val="20"/>
              </w:rPr>
            </w:pPr>
            <w:r>
              <w:rPr>
                <w:color w:val="000000"/>
                <w:sz w:val="20"/>
                <w:szCs w:val="20"/>
              </w:rPr>
              <w:t>În conformitate cu prevederile art. 28 al.1 al Legii nr. 1543/1998 cu privire la cadastrul bunurilor imobile, înregistrarea dreptului asupra bunului imobil se face inclusiv în temeiul certificatului constatator emis în conformitate cu prevederile Legii nr. 163/2010 privind autorizarea executării lucrărilor de construcţie, în procedura de aprobare tacită. Totodată, art.40 din Legea nr. 1543/1998, cînd se referă la înregistrarea bunurilor în proces de construcție, nu indică certificatul constatator, ceea ce în mod nejustificat, creează o practică și abordare neuniformă la ASP în procesul de înregistrare și ceea ce contravine cu prevederile Legii nr.163/2010.</w:t>
            </w:r>
          </w:p>
        </w:tc>
        <w:tc>
          <w:tcPr>
            <w:tcW w:w="1170" w:type="dxa"/>
            <w:tcBorders>
              <w:top w:val="single" w:sz="4" w:space="0" w:color="000000"/>
              <w:left w:val="single" w:sz="4" w:space="0" w:color="000000"/>
              <w:bottom w:val="single" w:sz="4" w:space="0" w:color="000000"/>
              <w:right w:val="single" w:sz="4" w:space="0" w:color="000000"/>
            </w:tcBorders>
          </w:tcPr>
          <w:p w14:paraId="2B19CA6D" w14:textId="77777777" w:rsidR="000E426E" w:rsidRDefault="000E426E">
            <w:pPr>
              <w:spacing w:after="0" w:line="240" w:lineRule="auto"/>
              <w:rPr>
                <w:sz w:val="20"/>
                <w:szCs w:val="20"/>
              </w:rPr>
            </w:pPr>
            <w:r>
              <w:rPr>
                <w:sz w:val="20"/>
                <w:szCs w:val="20"/>
              </w:rPr>
              <w:t>Condrumat</w:t>
            </w:r>
          </w:p>
        </w:tc>
        <w:tc>
          <w:tcPr>
            <w:tcW w:w="4140" w:type="dxa"/>
            <w:tcBorders>
              <w:top w:val="single" w:sz="4" w:space="0" w:color="000000"/>
              <w:left w:val="single" w:sz="4" w:space="0" w:color="000000"/>
              <w:bottom w:val="single" w:sz="4" w:space="0" w:color="000000"/>
              <w:right w:val="single" w:sz="4" w:space="0" w:color="000000"/>
            </w:tcBorders>
          </w:tcPr>
          <w:p w14:paraId="1777841A" w14:textId="77777777" w:rsidR="000E426E" w:rsidRDefault="000E426E">
            <w:pPr>
              <w:spacing w:after="0" w:line="240" w:lineRule="auto"/>
              <w:jc w:val="both"/>
              <w:rPr>
                <w:color w:val="000000"/>
                <w:sz w:val="20"/>
                <w:szCs w:val="20"/>
              </w:rPr>
            </w:pPr>
            <w:r>
              <w:rPr>
                <w:color w:val="000000"/>
                <w:sz w:val="20"/>
                <w:szCs w:val="20"/>
              </w:rPr>
              <w:t>Completarea Legii nr.1543/1998 cu dreptul de a putea înregistra bunul imobil în proces de construcție în baza autorizației de construire sau a certificatului constatator (în urma aprobării tacite), adică în art. 40/5, al. 6 cu referire la înregistrarea primară de indicat și certificatul constatator. Implicit, să fie eliminată discordanța din Legea nr.1543/1998, care în linii generale în privința bunurilor imobile (de orice categorie) stabilește că certificatul constatator servește temei pentru înregistrarea drepturilor (art.28), însă nu prevede aceasta expres și în raport cu bunurile în proces de construcție.</w:t>
            </w:r>
          </w:p>
        </w:tc>
        <w:tc>
          <w:tcPr>
            <w:tcW w:w="3330" w:type="dxa"/>
            <w:tcBorders>
              <w:top w:val="single" w:sz="4" w:space="0" w:color="000000"/>
              <w:left w:val="single" w:sz="4" w:space="0" w:color="000000"/>
              <w:bottom w:val="single" w:sz="4" w:space="0" w:color="000000"/>
              <w:right w:val="single" w:sz="4" w:space="0" w:color="000000"/>
            </w:tcBorders>
          </w:tcPr>
          <w:p w14:paraId="5F139E61" w14:textId="77777777" w:rsidR="000E426E" w:rsidRDefault="000E426E">
            <w:pPr>
              <w:spacing w:after="0" w:line="240" w:lineRule="auto"/>
              <w:jc w:val="both"/>
              <w:rPr>
                <w:sz w:val="20"/>
                <w:szCs w:val="20"/>
              </w:rPr>
            </w:pPr>
            <w:r>
              <w:rPr>
                <w:sz w:val="20"/>
                <w:szCs w:val="20"/>
              </w:rPr>
              <w:t>Eliminarea barierelor nejustificate pentru procedura de înregistrare cadastrală a bunurilor imobile în proces de construcție.</w:t>
            </w:r>
          </w:p>
        </w:tc>
      </w:tr>
      <w:tr w:rsidR="00434061" w14:paraId="17CD2B44"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784C079E" w14:textId="77777777" w:rsidR="00434061" w:rsidRDefault="00434061" w:rsidP="0055619C">
            <w:pPr>
              <w:spacing w:after="0" w:line="240" w:lineRule="auto"/>
              <w:jc w:val="center"/>
              <w:rPr>
                <w:b/>
                <w:sz w:val="20"/>
                <w:szCs w:val="20"/>
              </w:rPr>
            </w:pPr>
            <w:r>
              <w:rPr>
                <w:b/>
                <w:sz w:val="20"/>
                <w:szCs w:val="20"/>
              </w:rPr>
              <w:t>DOMENIUL – JOCURI DE NOROC</w:t>
            </w:r>
          </w:p>
        </w:tc>
      </w:tr>
      <w:tr w:rsidR="000E426E" w14:paraId="2FCA368C"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576DA0B0"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t>7</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23BA6F48" w14:textId="77777777" w:rsidR="000E426E" w:rsidRDefault="000E426E">
            <w:pPr>
              <w:spacing w:after="0" w:line="240" w:lineRule="auto"/>
              <w:jc w:val="both"/>
              <w:rPr>
                <w:color w:val="000000"/>
                <w:sz w:val="20"/>
                <w:szCs w:val="20"/>
              </w:rPr>
            </w:pPr>
            <w:r>
              <w:rPr>
                <w:color w:val="000000"/>
                <w:sz w:val="20"/>
                <w:szCs w:val="20"/>
              </w:rPr>
              <w:t xml:space="preserve">Chiar dacă în prezent, în baza prevederilor art.50/1 din Legea 291/2016, și urmare notificărilor entităților interesate, Agenția Servicii Publice publică lista paginilor web/platformelor/aplicațiilor prin intermediul cărora sunt accesate jocuri de noroc, care nu sunt autorizate în modul stabilit; ulterior, ANRCETI emite o decizie prin care obligă furnizorii de servicii de comunicații electronice să blocheze imediat accesul utilizatorilor din Republica Moldova la sursele menționate. Totuși potrivit datelor analizate de Serviciul Prevenirea şi Combaterea Spălării Banilor, jucătorii din Republica </w:t>
            </w:r>
            <w:r>
              <w:rPr>
                <w:color w:val="000000"/>
                <w:sz w:val="20"/>
                <w:szCs w:val="20"/>
              </w:rPr>
              <w:lastRenderedPageBreak/>
              <w:t>Moldova își pot crea un cont la operatorii internaționali de jocuri de noroc on-line și nu există nici o lege care să interzică asta și nici o sancțiune pentru cei care aleg să joace jocuri de cazinou neautorizat pe internet. Cetățenii din Republica Moldova, prin intermediul terminalelor de plată sau a portmoneelor electronice, pot direct suplini conturile de joc pe site-uri cu jocuri de noroc, care sunt blocate în multe state. Acest fapt duce la încălcarea legii prin participarea la jocuri de noroc care nu sunt autorizate pe teritoriul Moldovei, posibilă spălare de bani și, implicit este afectat și bugetul de stat.</w:t>
            </w:r>
          </w:p>
        </w:tc>
        <w:tc>
          <w:tcPr>
            <w:tcW w:w="1170" w:type="dxa"/>
            <w:tcBorders>
              <w:top w:val="single" w:sz="4" w:space="0" w:color="000000"/>
              <w:left w:val="single" w:sz="4" w:space="0" w:color="000000"/>
              <w:bottom w:val="single" w:sz="4" w:space="0" w:color="000000"/>
              <w:right w:val="single" w:sz="4" w:space="0" w:color="000000"/>
            </w:tcBorders>
          </w:tcPr>
          <w:p w14:paraId="424BF3D9" w14:textId="77777777" w:rsidR="000E426E" w:rsidRDefault="000E426E">
            <w:pPr>
              <w:spacing w:after="0" w:line="240" w:lineRule="auto"/>
              <w:jc w:val="center"/>
              <w:rPr>
                <w:sz w:val="20"/>
                <w:szCs w:val="20"/>
              </w:rPr>
            </w:pPr>
            <w:r>
              <w:rPr>
                <w:sz w:val="20"/>
                <w:szCs w:val="20"/>
              </w:rPr>
              <w:lastRenderedPageBreak/>
              <w:t>Loteria Moldovei</w:t>
            </w:r>
          </w:p>
          <w:p w14:paraId="76D6ABBD" w14:textId="77777777" w:rsidR="000E426E" w:rsidRDefault="000E426E">
            <w:pPr>
              <w:spacing w:after="0" w:line="240" w:lineRule="auto"/>
              <w:jc w:val="center"/>
              <w:rPr>
                <w:sz w:val="20"/>
                <w:szCs w:val="20"/>
              </w:rPr>
            </w:pPr>
            <w:r>
              <w:rPr>
                <w:sz w:val="20"/>
                <w:szCs w:val="20"/>
              </w:rPr>
              <w:t>și NGM Company</w:t>
            </w:r>
          </w:p>
          <w:p w14:paraId="24875EAF" w14:textId="77777777" w:rsidR="000E426E" w:rsidRDefault="000E426E">
            <w:pPr>
              <w:spacing w:after="0" w:line="240" w:lineRule="auto"/>
              <w:jc w:val="center"/>
              <w:rPr>
                <w:sz w:val="20"/>
                <w:szCs w:val="20"/>
              </w:rPr>
            </w:pPr>
            <w:r>
              <w:rPr>
                <w:sz w:val="20"/>
                <w:szCs w:val="20"/>
              </w:rPr>
              <w:t>SRL</w:t>
            </w:r>
          </w:p>
        </w:tc>
        <w:tc>
          <w:tcPr>
            <w:tcW w:w="4140" w:type="dxa"/>
            <w:tcBorders>
              <w:top w:val="single" w:sz="4" w:space="0" w:color="000000"/>
              <w:left w:val="single" w:sz="4" w:space="0" w:color="000000"/>
              <w:bottom w:val="single" w:sz="4" w:space="0" w:color="000000"/>
              <w:right w:val="single" w:sz="4" w:space="0" w:color="000000"/>
            </w:tcBorders>
          </w:tcPr>
          <w:p w14:paraId="78481E23" w14:textId="77777777" w:rsidR="000E426E" w:rsidRDefault="000E426E">
            <w:pPr>
              <w:spacing w:after="0" w:line="240" w:lineRule="auto"/>
              <w:jc w:val="both"/>
              <w:rPr>
                <w:sz w:val="20"/>
                <w:szCs w:val="20"/>
              </w:rPr>
            </w:pPr>
            <w:r>
              <w:rPr>
                <w:sz w:val="20"/>
                <w:szCs w:val="20"/>
              </w:rPr>
              <w:t xml:space="preserve">Se propune într-un mod mai eficient lupta cu cazinourile online și plățile către acestea în baza următoarei scheme: monitorizarea de către ASP (în baza listei paginilor/aplicațiilor autorizate în MD) și, urmare a notificării din partea ASP, blocarea de către prestatorii de servicii de plată a tranzacțiilor în favoarea paginilor web/ platformelor/ aplicațiilor prin intermediul cărora sunt accesate jocurile de noroc care nu sunt </w:t>
            </w:r>
            <w:r>
              <w:rPr>
                <w:sz w:val="20"/>
                <w:szCs w:val="20"/>
              </w:rPr>
              <w:lastRenderedPageBreak/>
              <w:t>autorizate în modul stabilit. Corespunzător, se propun modificări și completări la Legea nr.291/2016 cu privire la organizarea și desfășurarea jocurilor de noroc, la art.50/1 cu reglementări complementare despre pagina web/platformă/aplicație prin intermediul căreia sunt accesate jocurile de noroc și monitorizarea acestora de ASP cu publicarea listei celor autorizate în Moldova. La fel completarea cu art.50/2 care să prevadă blocarea tranzacțiilor în favoarea paginilor web/ platformelor/ aplicațiilor prin intermediul cărora sunt accesate jocurile de noroc care nu sunt autorizate în modul stabilit.</w:t>
            </w:r>
          </w:p>
        </w:tc>
        <w:tc>
          <w:tcPr>
            <w:tcW w:w="3330" w:type="dxa"/>
            <w:tcBorders>
              <w:top w:val="single" w:sz="4" w:space="0" w:color="000000"/>
              <w:left w:val="single" w:sz="4" w:space="0" w:color="000000"/>
              <w:bottom w:val="single" w:sz="4" w:space="0" w:color="000000"/>
              <w:right w:val="single" w:sz="4" w:space="0" w:color="000000"/>
            </w:tcBorders>
          </w:tcPr>
          <w:p w14:paraId="01B91842" w14:textId="77777777" w:rsidR="000E426E" w:rsidRDefault="000E426E">
            <w:pPr>
              <w:spacing w:after="0" w:line="240" w:lineRule="auto"/>
              <w:jc w:val="both"/>
              <w:rPr>
                <w:sz w:val="20"/>
                <w:szCs w:val="20"/>
              </w:rPr>
            </w:pPr>
            <w:r>
              <w:rPr>
                <w:sz w:val="20"/>
                <w:szCs w:val="20"/>
              </w:rPr>
              <w:lastRenderedPageBreak/>
              <w:t>Intervenția urmărește mai multe obiective:</w:t>
            </w:r>
          </w:p>
          <w:p w14:paraId="34E4530D" w14:textId="77777777" w:rsidR="000E426E" w:rsidRDefault="000E426E">
            <w:pPr>
              <w:numPr>
                <w:ilvl w:val="0"/>
                <w:numId w:val="2"/>
              </w:numPr>
              <w:pBdr>
                <w:top w:val="nil"/>
                <w:left w:val="nil"/>
                <w:bottom w:val="nil"/>
                <w:right w:val="nil"/>
                <w:between w:val="nil"/>
              </w:pBdr>
              <w:spacing w:after="0" w:line="240" w:lineRule="auto"/>
              <w:ind w:left="175" w:hanging="175"/>
              <w:jc w:val="both"/>
              <w:rPr>
                <w:color w:val="000000"/>
                <w:sz w:val="20"/>
                <w:szCs w:val="20"/>
              </w:rPr>
            </w:pPr>
            <w:r>
              <w:rPr>
                <w:color w:val="000000"/>
                <w:sz w:val="20"/>
                <w:szCs w:val="20"/>
              </w:rPr>
              <w:t>O disciplină mai bună în privința operatorilor de jocuri de noroc pe spațiul virtual în Moldova</w:t>
            </w:r>
          </w:p>
          <w:p w14:paraId="3652E09C" w14:textId="77777777" w:rsidR="000E426E" w:rsidRDefault="000E426E">
            <w:pPr>
              <w:numPr>
                <w:ilvl w:val="0"/>
                <w:numId w:val="2"/>
              </w:numPr>
              <w:pBdr>
                <w:top w:val="nil"/>
                <w:left w:val="nil"/>
                <w:bottom w:val="nil"/>
                <w:right w:val="nil"/>
                <w:between w:val="nil"/>
              </w:pBdr>
              <w:spacing w:after="0" w:line="240" w:lineRule="auto"/>
              <w:ind w:left="175" w:hanging="175"/>
              <w:jc w:val="both"/>
              <w:rPr>
                <w:color w:val="000000"/>
                <w:sz w:val="20"/>
                <w:szCs w:val="20"/>
              </w:rPr>
            </w:pPr>
            <w:r>
              <w:rPr>
                <w:color w:val="000000"/>
                <w:sz w:val="20"/>
                <w:szCs w:val="20"/>
              </w:rPr>
              <w:t>Protejarea consumatorilor de organizatori de jocuri ilegale</w:t>
            </w:r>
          </w:p>
          <w:p w14:paraId="247F84B5" w14:textId="77777777" w:rsidR="000E426E" w:rsidRDefault="000E426E">
            <w:pPr>
              <w:numPr>
                <w:ilvl w:val="0"/>
                <w:numId w:val="2"/>
              </w:numPr>
              <w:pBdr>
                <w:top w:val="nil"/>
                <w:left w:val="nil"/>
                <w:bottom w:val="nil"/>
                <w:right w:val="nil"/>
                <w:between w:val="nil"/>
              </w:pBdr>
              <w:spacing w:after="0" w:line="240" w:lineRule="auto"/>
              <w:ind w:left="175" w:hanging="175"/>
              <w:jc w:val="both"/>
              <w:rPr>
                <w:color w:val="000000"/>
                <w:sz w:val="20"/>
                <w:szCs w:val="20"/>
              </w:rPr>
            </w:pPr>
            <w:r>
              <w:rPr>
                <w:color w:val="000000"/>
                <w:sz w:val="20"/>
                <w:szCs w:val="20"/>
              </w:rPr>
              <w:t xml:space="preserve">Asigurarea trasabilității mijloacelor financiare transferate în cadrul </w:t>
            </w:r>
            <w:r>
              <w:rPr>
                <w:color w:val="000000"/>
                <w:sz w:val="20"/>
                <w:szCs w:val="20"/>
              </w:rPr>
              <w:lastRenderedPageBreak/>
              <w:t>jocurilor, implicit combaterea mai bună a fenomenului spălării banilor prin intermediul jocurilor de noroc</w:t>
            </w:r>
          </w:p>
        </w:tc>
      </w:tr>
      <w:tr w:rsidR="00434061" w14:paraId="6ED23AEC"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387EAD7C" w14:textId="77777777" w:rsidR="00434061" w:rsidRDefault="00434061" w:rsidP="0055619C">
            <w:pPr>
              <w:spacing w:after="0" w:line="240" w:lineRule="auto"/>
              <w:jc w:val="center"/>
              <w:rPr>
                <w:b/>
                <w:sz w:val="20"/>
                <w:szCs w:val="20"/>
              </w:rPr>
            </w:pPr>
            <w:r>
              <w:rPr>
                <w:b/>
                <w:sz w:val="20"/>
                <w:szCs w:val="20"/>
              </w:rPr>
              <w:lastRenderedPageBreak/>
              <w:t>DOMENIUL – INSTRUIRE PERSONAL (APĂRAREA ÎMPOTRIVA INCENDIILOR)</w:t>
            </w:r>
          </w:p>
        </w:tc>
      </w:tr>
      <w:tr w:rsidR="000E426E" w14:paraId="55F861D4"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58C22682"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t>8</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2B4C2218" w14:textId="77777777" w:rsidR="000E426E" w:rsidRDefault="000E426E">
            <w:pPr>
              <w:spacing w:after="0" w:line="240" w:lineRule="auto"/>
              <w:jc w:val="both"/>
              <w:rPr>
                <w:sz w:val="20"/>
                <w:szCs w:val="20"/>
              </w:rPr>
            </w:pPr>
            <w:r>
              <w:rPr>
                <w:sz w:val="20"/>
                <w:szCs w:val="20"/>
              </w:rPr>
              <w:t>În prezent art. 11 din Legea 267 din 09.11.1994 stabilește expres că instruirea obligatorie se efectuează doar la Centru Republican de Instruire al Inspectoratului General pentru Situații de Urgență și doar de la Centrul în cauză pot fi obținute certificate privind absolvirea cursului de instruire în domeniul apărării împotriva incendiilor, fiind astfel instituit un monopol evident în privința serviciilor de instruire</w:t>
            </w:r>
          </w:p>
        </w:tc>
        <w:tc>
          <w:tcPr>
            <w:tcW w:w="1170" w:type="dxa"/>
            <w:tcBorders>
              <w:top w:val="single" w:sz="4" w:space="0" w:color="000000"/>
              <w:left w:val="single" w:sz="4" w:space="0" w:color="000000"/>
              <w:bottom w:val="single" w:sz="4" w:space="0" w:color="000000"/>
              <w:right w:val="single" w:sz="4" w:space="0" w:color="000000"/>
            </w:tcBorders>
          </w:tcPr>
          <w:p w14:paraId="22C4B688" w14:textId="77777777" w:rsidR="000E426E" w:rsidRDefault="000E426E">
            <w:pPr>
              <w:spacing w:after="0" w:line="240" w:lineRule="auto"/>
              <w:jc w:val="center"/>
              <w:rPr>
                <w:sz w:val="20"/>
                <w:szCs w:val="20"/>
              </w:rPr>
            </w:pPr>
            <w:r>
              <w:rPr>
                <w:sz w:val="20"/>
                <w:szCs w:val="20"/>
              </w:rPr>
              <w:t>FIA</w:t>
            </w:r>
          </w:p>
        </w:tc>
        <w:tc>
          <w:tcPr>
            <w:tcW w:w="4140" w:type="dxa"/>
            <w:tcBorders>
              <w:top w:val="single" w:sz="4" w:space="0" w:color="000000"/>
              <w:left w:val="single" w:sz="4" w:space="0" w:color="000000"/>
              <w:bottom w:val="single" w:sz="4" w:space="0" w:color="000000"/>
              <w:right w:val="single" w:sz="4" w:space="0" w:color="000000"/>
            </w:tcBorders>
          </w:tcPr>
          <w:p w14:paraId="6F9B41A4" w14:textId="77777777" w:rsidR="000E426E" w:rsidRDefault="000E426E">
            <w:pPr>
              <w:spacing w:after="0" w:line="240" w:lineRule="auto"/>
              <w:jc w:val="both"/>
              <w:rPr>
                <w:sz w:val="20"/>
                <w:szCs w:val="20"/>
              </w:rPr>
            </w:pPr>
            <w:r>
              <w:rPr>
                <w:sz w:val="20"/>
                <w:szCs w:val="20"/>
              </w:rPr>
              <w:t xml:space="preserve">Excluderea monopolului din lege în favoarea Centrului Republican de Instruire al Inspectoratului General pentru Situații de Urgență cu acordarea posibilității de instruire la oricare instituție acreditată în acest sens. Adică modificarea prevederilor de la art. 11 din Legea 267 din 09.11.1994 </w:t>
            </w:r>
          </w:p>
        </w:tc>
        <w:tc>
          <w:tcPr>
            <w:tcW w:w="3330" w:type="dxa"/>
            <w:tcBorders>
              <w:top w:val="single" w:sz="4" w:space="0" w:color="000000"/>
              <w:left w:val="single" w:sz="4" w:space="0" w:color="000000"/>
              <w:bottom w:val="single" w:sz="4" w:space="0" w:color="000000"/>
              <w:right w:val="single" w:sz="4" w:space="0" w:color="000000"/>
            </w:tcBorders>
          </w:tcPr>
          <w:p w14:paraId="3232204C" w14:textId="77777777" w:rsidR="000E426E" w:rsidRDefault="000E426E">
            <w:pPr>
              <w:spacing w:after="0" w:line="240" w:lineRule="auto"/>
              <w:jc w:val="both"/>
              <w:rPr>
                <w:sz w:val="20"/>
                <w:szCs w:val="20"/>
              </w:rPr>
            </w:pPr>
            <w:r>
              <w:rPr>
                <w:sz w:val="20"/>
                <w:szCs w:val="20"/>
              </w:rPr>
              <w:t>Scopul ca pentru serviciul de instruire impus prin lege să existe piață, ceea ce va asigura prețuri minim posibile și va contribui la o calitate mai înaltă pentru instruirile în cauză.</w:t>
            </w:r>
          </w:p>
        </w:tc>
      </w:tr>
      <w:tr w:rsidR="00434061" w14:paraId="7460A533"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42B35214" w14:textId="77777777" w:rsidR="00434061" w:rsidRDefault="00434061" w:rsidP="0055619C">
            <w:pPr>
              <w:spacing w:after="0" w:line="240" w:lineRule="auto"/>
              <w:jc w:val="center"/>
              <w:rPr>
                <w:b/>
                <w:sz w:val="20"/>
                <w:szCs w:val="20"/>
              </w:rPr>
            </w:pPr>
            <w:r>
              <w:rPr>
                <w:b/>
                <w:sz w:val="20"/>
                <w:szCs w:val="20"/>
              </w:rPr>
              <w:t>DOMENIUL – MIGRAȚIA FORȚEI DE MUNCĂ</w:t>
            </w:r>
          </w:p>
        </w:tc>
      </w:tr>
      <w:tr w:rsidR="000E426E" w14:paraId="03ACBFDF"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7055561C"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r>
              <w:rPr>
                <w:sz w:val="20"/>
                <w:szCs w:val="20"/>
              </w:rPr>
              <w:t>8</w:t>
            </w:r>
            <w:r>
              <w:rPr>
                <w:b/>
                <w:sz w:val="20"/>
                <w:szCs w:val="20"/>
              </w:rPr>
              <w:t>.</w:t>
            </w:r>
          </w:p>
        </w:tc>
        <w:tc>
          <w:tcPr>
            <w:tcW w:w="5757" w:type="dxa"/>
            <w:tcBorders>
              <w:top w:val="single" w:sz="4" w:space="0" w:color="000000"/>
              <w:left w:val="single" w:sz="4" w:space="0" w:color="000000"/>
              <w:bottom w:val="single" w:sz="4" w:space="0" w:color="000000"/>
              <w:right w:val="single" w:sz="4" w:space="0" w:color="000000"/>
            </w:tcBorders>
          </w:tcPr>
          <w:p w14:paraId="14D56CB5" w14:textId="77777777" w:rsidR="000E426E" w:rsidRDefault="000E426E">
            <w:pPr>
              <w:spacing w:after="0" w:line="240" w:lineRule="auto"/>
              <w:jc w:val="both"/>
              <w:rPr>
                <w:sz w:val="20"/>
                <w:szCs w:val="20"/>
              </w:rPr>
            </w:pPr>
            <w:r>
              <w:rPr>
                <w:sz w:val="20"/>
                <w:szCs w:val="20"/>
              </w:rPr>
              <w:t>Pentru obținerea dreptului de ședere al migrantului în muncă Legea nr.200/2010 impune să prezentate în prealabil doar contracte de muncă cu acea persoană în care să fie indicat un salariu ce are valoarea minimală echivalentă cu salariul mediu lunar pe economie.</w:t>
            </w:r>
          </w:p>
          <w:p w14:paraId="5AB80B08" w14:textId="77777777" w:rsidR="000E426E" w:rsidRDefault="000E426E">
            <w:pPr>
              <w:spacing w:after="0" w:line="240" w:lineRule="auto"/>
              <w:jc w:val="both"/>
              <w:rPr>
                <w:sz w:val="20"/>
                <w:szCs w:val="20"/>
              </w:rPr>
            </w:pPr>
            <w:r>
              <w:rPr>
                <w:sz w:val="20"/>
                <w:szCs w:val="20"/>
              </w:rPr>
              <w:t>Această cerință în multe cazuri duce la imposibilitatea de a angaja în condiții de part-time pe angajați străini. Prevederea dată este folosită discriminatoriu in comparatie cu cetățenii RM, care ocupa funcții similare.</w:t>
            </w:r>
          </w:p>
        </w:tc>
        <w:tc>
          <w:tcPr>
            <w:tcW w:w="1170" w:type="dxa"/>
            <w:tcBorders>
              <w:top w:val="single" w:sz="4" w:space="0" w:color="000000"/>
              <w:left w:val="single" w:sz="4" w:space="0" w:color="000000"/>
              <w:bottom w:val="single" w:sz="4" w:space="0" w:color="000000"/>
              <w:right w:val="single" w:sz="4" w:space="0" w:color="000000"/>
            </w:tcBorders>
          </w:tcPr>
          <w:p w14:paraId="618C2359" w14:textId="77777777" w:rsidR="000E426E" w:rsidRDefault="000E426E">
            <w:pPr>
              <w:spacing w:after="0" w:line="240" w:lineRule="auto"/>
              <w:jc w:val="center"/>
              <w:rPr>
                <w:color w:val="000000"/>
                <w:sz w:val="20"/>
                <w:szCs w:val="20"/>
                <w:highlight w:val="white"/>
              </w:rPr>
            </w:pPr>
            <w:r>
              <w:rPr>
                <w:color w:val="000000"/>
                <w:sz w:val="20"/>
                <w:szCs w:val="20"/>
                <w:highlight w:val="white"/>
              </w:rPr>
              <w:t>MĂR</w:t>
            </w:r>
          </w:p>
        </w:tc>
        <w:tc>
          <w:tcPr>
            <w:tcW w:w="4140" w:type="dxa"/>
            <w:tcBorders>
              <w:top w:val="single" w:sz="4" w:space="0" w:color="000000"/>
              <w:left w:val="single" w:sz="4" w:space="0" w:color="000000"/>
              <w:bottom w:val="single" w:sz="4" w:space="0" w:color="000000"/>
              <w:right w:val="single" w:sz="4" w:space="0" w:color="000000"/>
            </w:tcBorders>
          </w:tcPr>
          <w:p w14:paraId="5834E752" w14:textId="77777777" w:rsidR="000E426E" w:rsidRDefault="000E426E">
            <w:pPr>
              <w:spacing w:after="0" w:line="240" w:lineRule="auto"/>
              <w:jc w:val="both"/>
              <w:rPr>
                <w:color w:val="000000"/>
                <w:sz w:val="20"/>
                <w:szCs w:val="20"/>
                <w:highlight w:val="white"/>
              </w:rPr>
            </w:pPr>
            <w:r>
              <w:rPr>
                <w:sz w:val="20"/>
                <w:szCs w:val="20"/>
              </w:rPr>
              <w:t xml:space="preserve">Acordarea posibilității de a angaja lucrătorii migranți cu condiții de part-time, cu achitarea salariului în conformitate cu timpul real lucrat. Se propune modificarea prevederilor de la art. 43/4  Legea nr. 200/2010 privind regimul străinilor condiția ca în copia contractului individual de muncă al străinului care se prezintă să fie indicat anume „salariului lunar, care nu trebuie să fie mai mic decît salariul mediu lunar pe economie prognozat pentru anul de gestiune”. Această valoarea să fie racordată la 50% din salariul mediu pe economie sau la </w:t>
            </w:r>
            <w:r>
              <w:rPr>
                <w:sz w:val="20"/>
                <w:szCs w:val="20"/>
              </w:rPr>
              <w:lastRenderedPageBreak/>
              <w:t>salariul minim garantat, așa cum prevede și Codul Muncii.</w:t>
            </w:r>
          </w:p>
        </w:tc>
        <w:tc>
          <w:tcPr>
            <w:tcW w:w="3330" w:type="dxa"/>
            <w:tcBorders>
              <w:top w:val="single" w:sz="4" w:space="0" w:color="000000"/>
              <w:left w:val="single" w:sz="4" w:space="0" w:color="000000"/>
              <w:bottom w:val="single" w:sz="4" w:space="0" w:color="000000"/>
              <w:right w:val="single" w:sz="4" w:space="0" w:color="000000"/>
            </w:tcBorders>
          </w:tcPr>
          <w:p w14:paraId="009B1467" w14:textId="77777777" w:rsidR="000E426E" w:rsidRDefault="000E426E">
            <w:pPr>
              <w:spacing w:after="0" w:line="240" w:lineRule="auto"/>
              <w:jc w:val="both"/>
              <w:rPr>
                <w:sz w:val="20"/>
                <w:szCs w:val="20"/>
              </w:rPr>
            </w:pPr>
            <w:r>
              <w:rPr>
                <w:sz w:val="20"/>
                <w:szCs w:val="20"/>
              </w:rPr>
              <w:lastRenderedPageBreak/>
              <w:t>Posibilitatea de a angaja lucrătorii migranți cu condiții de part-time, cu achitarea salariului în conformitate cu timpul real lucrat, adică salariul poate fi mai puțin de salariul mediul lunar pe economie, prognozat pentru anul de gestiune.</w:t>
            </w:r>
          </w:p>
        </w:tc>
      </w:tr>
      <w:tr w:rsidR="000E426E" w14:paraId="55B26987"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154977D3"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3E869AC4" w14:textId="77777777" w:rsidR="000E426E" w:rsidRDefault="000E426E">
            <w:pPr>
              <w:spacing w:after="0" w:line="240" w:lineRule="auto"/>
              <w:jc w:val="both"/>
              <w:rPr>
                <w:sz w:val="20"/>
                <w:szCs w:val="20"/>
              </w:rPr>
            </w:pPr>
            <w:r>
              <w:rPr>
                <w:sz w:val="20"/>
                <w:szCs w:val="20"/>
              </w:rPr>
              <w:t xml:space="preserve">Articolul 43/17 din Legea nr.200/2010  stabilește că străinul care a fost luat la evidență inițială, este în drept să presteze muncă fără obținerea unei vize, a dreptului de aflare sau a dreptului de ședere provizorie cu condiția îndeplinirii cumulative a unor condiții, printre care, la lit.d): munca se prestează în baza contractului individual de muncă încheiat în formă de document electronic, semnat cu semnătura electronică calificată, eliberată în condițiile legii. Condiția respectivă este obligatorie și neexecutarea acesteia duce la imposibilitatea îndeplinirii condițiilor pentru prestarea muncii fără obținerea unei vize. Cu toate că în multe cazuri contractul nu poate fi semnat într-o formă electronică care să corespundă cerințelor legii naționale, însă ar putea fi semnat olograf și expediat prin poștă. </w:t>
            </w:r>
          </w:p>
        </w:tc>
        <w:tc>
          <w:tcPr>
            <w:tcW w:w="1170" w:type="dxa"/>
            <w:tcBorders>
              <w:top w:val="single" w:sz="4" w:space="0" w:color="000000"/>
              <w:left w:val="single" w:sz="4" w:space="0" w:color="000000"/>
              <w:bottom w:val="single" w:sz="4" w:space="0" w:color="000000"/>
              <w:right w:val="single" w:sz="4" w:space="0" w:color="000000"/>
            </w:tcBorders>
          </w:tcPr>
          <w:p w14:paraId="4CEC251F" w14:textId="77777777" w:rsidR="000E426E" w:rsidRDefault="000E426E">
            <w:pPr>
              <w:spacing w:after="0" w:line="240" w:lineRule="auto"/>
              <w:jc w:val="center"/>
              <w:rPr>
                <w:color w:val="000000"/>
                <w:sz w:val="20"/>
                <w:szCs w:val="20"/>
                <w:highlight w:val="white"/>
              </w:rPr>
            </w:pPr>
            <w:r>
              <w:rPr>
                <w:color w:val="000000"/>
                <w:sz w:val="20"/>
                <w:szCs w:val="20"/>
                <w:highlight w:val="white"/>
              </w:rPr>
              <w:t>ATIC</w:t>
            </w:r>
          </w:p>
        </w:tc>
        <w:tc>
          <w:tcPr>
            <w:tcW w:w="4140" w:type="dxa"/>
            <w:tcBorders>
              <w:top w:val="single" w:sz="4" w:space="0" w:color="000000"/>
              <w:left w:val="single" w:sz="4" w:space="0" w:color="000000"/>
              <w:bottom w:val="single" w:sz="4" w:space="0" w:color="000000"/>
              <w:right w:val="single" w:sz="4" w:space="0" w:color="000000"/>
            </w:tcBorders>
          </w:tcPr>
          <w:p w14:paraId="1A5900E3" w14:textId="77777777" w:rsidR="000E426E" w:rsidRDefault="000E426E">
            <w:pPr>
              <w:spacing w:after="0" w:line="240" w:lineRule="auto"/>
              <w:jc w:val="both"/>
              <w:rPr>
                <w:sz w:val="20"/>
                <w:szCs w:val="20"/>
              </w:rPr>
            </w:pPr>
            <w:r>
              <w:rPr>
                <w:sz w:val="20"/>
                <w:szCs w:val="20"/>
              </w:rPr>
              <w:t>Excluderea din lit. d, pct. 1, art. 43/17 din Legea 200, a sintagmei: ”încheiat în formă de document electronic, semnat cu semnătura electronică calificată, eliberată în condițiile legii.” Alternativ, includerea și posibilității de semnare olografă.</w:t>
            </w:r>
          </w:p>
        </w:tc>
        <w:tc>
          <w:tcPr>
            <w:tcW w:w="3330" w:type="dxa"/>
            <w:tcBorders>
              <w:top w:val="single" w:sz="4" w:space="0" w:color="000000"/>
              <w:left w:val="single" w:sz="4" w:space="0" w:color="000000"/>
              <w:bottom w:val="single" w:sz="4" w:space="0" w:color="000000"/>
              <w:right w:val="single" w:sz="4" w:space="0" w:color="000000"/>
            </w:tcBorders>
          </w:tcPr>
          <w:p w14:paraId="6383CA25" w14:textId="77777777" w:rsidR="000E426E" w:rsidRDefault="000E426E">
            <w:pPr>
              <w:spacing w:after="0" w:line="240" w:lineRule="auto"/>
              <w:jc w:val="both"/>
              <w:rPr>
                <w:sz w:val="20"/>
                <w:szCs w:val="20"/>
              </w:rPr>
            </w:pPr>
            <w:r>
              <w:rPr>
                <w:sz w:val="20"/>
                <w:szCs w:val="20"/>
              </w:rPr>
              <w:t>Scopul să se admită alternativa ca contractul de muncă să poată fi semnat olograf și expediat prin poșta rapidă, în situațiile în care varianta electronică este anevoios să fie obținută.</w:t>
            </w:r>
          </w:p>
        </w:tc>
      </w:tr>
      <w:tr w:rsidR="00434061" w14:paraId="55881EF6"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39498BE2" w14:textId="77777777" w:rsidR="00434061" w:rsidRDefault="00434061" w:rsidP="0055619C">
            <w:pPr>
              <w:spacing w:after="0" w:line="240" w:lineRule="auto"/>
              <w:jc w:val="center"/>
              <w:rPr>
                <w:b/>
                <w:sz w:val="20"/>
                <w:szCs w:val="20"/>
              </w:rPr>
            </w:pPr>
            <w:r>
              <w:rPr>
                <w:b/>
                <w:sz w:val="20"/>
                <w:szCs w:val="20"/>
              </w:rPr>
              <w:t>DOMENIUL – ACREDITAREA ȘI EVALUAREA CONFORMITĂȚII PRODUSELOR/SERVICIILOR</w:t>
            </w:r>
          </w:p>
        </w:tc>
      </w:tr>
      <w:tr w:rsidR="000E426E" w14:paraId="5B1C000F"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2941BD62"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5A0B3450" w14:textId="77777777" w:rsidR="000E426E" w:rsidRDefault="000E426E">
            <w:pPr>
              <w:spacing w:after="0" w:line="240" w:lineRule="auto"/>
              <w:jc w:val="both"/>
              <w:rPr>
                <w:sz w:val="20"/>
                <w:szCs w:val="20"/>
              </w:rPr>
            </w:pPr>
            <w:r>
              <w:rPr>
                <w:sz w:val="20"/>
                <w:szCs w:val="20"/>
              </w:rPr>
              <w:t>Previzibilitate și transparență insuficientă în privința procedurii și costurilor pentru acreditarea laboratoarelor. Cu toate că în special acreditarea în scopul recunoașterii oficiale este prevăzută și impusă de lege, totuși procedura de acreditare este reglementată destul de vag, cadrul normativ nu vine cu niște limite mai clare de timp și cadrul procedural cu mai multe detalii nu este stabilit în cadrul normativ (doar la nivel de standarde). La fel în privința tarifelor, nu este aprobată și publicată în mod oficial o listă de tarife orientative, fiind prevăzută doar abordarea metodologică generală în anexa din Legea nr.235/2006, cu toate că MOLDAC este instituție publică și, conform Legii nr.98/2012, lista de servicii și tarife la acestea este obligatorie să fie aprobată de Guvern. În paralel, mai mulți solicitanți de acreditare s-au expus asupra tarifelor exagerat de înalte pentru obținerea acreditării.</w:t>
            </w:r>
          </w:p>
        </w:tc>
        <w:tc>
          <w:tcPr>
            <w:tcW w:w="1170" w:type="dxa"/>
            <w:tcBorders>
              <w:top w:val="single" w:sz="4" w:space="0" w:color="000000"/>
              <w:left w:val="single" w:sz="4" w:space="0" w:color="000000"/>
              <w:bottom w:val="single" w:sz="4" w:space="0" w:color="000000"/>
              <w:right w:val="single" w:sz="4" w:space="0" w:color="000000"/>
            </w:tcBorders>
          </w:tcPr>
          <w:p w14:paraId="7AE2C77C" w14:textId="77777777" w:rsidR="000E426E" w:rsidRDefault="000E426E">
            <w:pPr>
              <w:spacing w:after="0" w:line="240" w:lineRule="auto"/>
              <w:jc w:val="center"/>
              <w:rPr>
                <w:color w:val="000000"/>
                <w:sz w:val="20"/>
                <w:szCs w:val="20"/>
                <w:highlight w:val="white"/>
              </w:rPr>
            </w:pPr>
            <w:r>
              <w:rPr>
                <w:color w:val="000000"/>
                <w:sz w:val="20"/>
                <w:szCs w:val="20"/>
                <w:highlight w:val="white"/>
              </w:rPr>
              <w:t>UNDP (PNUD)</w:t>
            </w:r>
          </w:p>
        </w:tc>
        <w:tc>
          <w:tcPr>
            <w:tcW w:w="4140" w:type="dxa"/>
            <w:tcBorders>
              <w:top w:val="single" w:sz="4" w:space="0" w:color="000000"/>
              <w:left w:val="single" w:sz="4" w:space="0" w:color="000000"/>
              <w:bottom w:val="single" w:sz="4" w:space="0" w:color="000000"/>
              <w:right w:val="single" w:sz="4" w:space="0" w:color="000000"/>
            </w:tcBorders>
          </w:tcPr>
          <w:p w14:paraId="690BEBDC" w14:textId="77777777" w:rsidR="000E426E" w:rsidRDefault="000E426E">
            <w:pPr>
              <w:spacing w:after="0" w:line="240" w:lineRule="auto"/>
              <w:jc w:val="both"/>
              <w:rPr>
                <w:sz w:val="20"/>
                <w:szCs w:val="20"/>
              </w:rPr>
            </w:pPr>
            <w:r>
              <w:rPr>
                <w:sz w:val="20"/>
                <w:szCs w:val="20"/>
              </w:rPr>
              <w:t>Reducerea prețului la serviciile de acreditare MOLDAC prin micșorarea plafonului stabilit în metodologie din anexa nr.1 din Legea nr.235/2011 (în prezent onorariul experților se limitează la maxim 50% din salariu mediu pe economie pentru 1 zi lucrătoare) și includerea unei prevederi exprese conform căreia lista serviciilor prestate de IP Moldac și tarifelor la acestea, se aprobă de Guvern.</w:t>
            </w:r>
          </w:p>
        </w:tc>
        <w:tc>
          <w:tcPr>
            <w:tcW w:w="3330" w:type="dxa"/>
            <w:tcBorders>
              <w:top w:val="single" w:sz="4" w:space="0" w:color="000000"/>
              <w:left w:val="single" w:sz="4" w:space="0" w:color="000000"/>
              <w:bottom w:val="single" w:sz="4" w:space="0" w:color="000000"/>
              <w:right w:val="single" w:sz="4" w:space="0" w:color="000000"/>
            </w:tcBorders>
          </w:tcPr>
          <w:p w14:paraId="09645508" w14:textId="77777777" w:rsidR="000E426E" w:rsidRDefault="000E426E">
            <w:pPr>
              <w:spacing w:after="0" w:line="240" w:lineRule="auto"/>
              <w:jc w:val="both"/>
              <w:rPr>
                <w:sz w:val="20"/>
                <w:szCs w:val="20"/>
              </w:rPr>
            </w:pPr>
            <w:r>
              <w:rPr>
                <w:sz w:val="20"/>
                <w:szCs w:val="20"/>
              </w:rPr>
              <w:t xml:space="preserve">Asigurarea transparenței și previzibilității în raport cu procesul și costurile pentru acreditarea laboratoarelor de către MOLDAC, inclusiv obiectivul de a revizui tarifele existente pentru a identifica oportunități de scădere a acestora pentru solicitanții de acreditare. </w:t>
            </w:r>
          </w:p>
        </w:tc>
      </w:tr>
      <w:tr w:rsidR="00434061" w14:paraId="54573142"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0BA1AC2F" w14:textId="77777777" w:rsidR="00434061" w:rsidRDefault="00434061" w:rsidP="0055619C">
            <w:pPr>
              <w:spacing w:after="0" w:line="240" w:lineRule="auto"/>
              <w:jc w:val="center"/>
              <w:rPr>
                <w:sz w:val="20"/>
                <w:szCs w:val="20"/>
              </w:rPr>
            </w:pPr>
            <w:r>
              <w:rPr>
                <w:b/>
                <w:sz w:val="20"/>
                <w:szCs w:val="20"/>
              </w:rPr>
              <w:t>DOMENIUL – ACTIVITATEA PARTICULARĂ DE DETECTIV ȘI PAZĂ</w:t>
            </w:r>
          </w:p>
        </w:tc>
      </w:tr>
      <w:tr w:rsidR="000E426E" w14:paraId="6A31521A"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2BCCCC40"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6AC4860B" w14:textId="77777777" w:rsidR="000E426E" w:rsidRDefault="000E426E">
            <w:pPr>
              <w:spacing w:after="0" w:line="240" w:lineRule="auto"/>
              <w:jc w:val="both"/>
              <w:rPr>
                <w:sz w:val="20"/>
                <w:szCs w:val="20"/>
              </w:rPr>
            </w:pPr>
            <w:r>
              <w:rPr>
                <w:sz w:val="20"/>
                <w:szCs w:val="20"/>
              </w:rPr>
              <w:t xml:space="preserve">În epoca de digitalizare avansată a tehnologiilor, inclusiv și celor din domeniul activității particulare de detectiv și de pază și de identificare a unor soluții întru acordarea unor servicii de securitate/pază performant, rapid și calitativ pentru societate, ne ciocnim cu neconcordanțe expuse în Legea 283 din 04.07.2023 </w:t>
            </w:r>
            <w:r>
              <w:rPr>
                <w:sz w:val="20"/>
                <w:szCs w:val="20"/>
              </w:rPr>
              <w:lastRenderedPageBreak/>
              <w:t xml:space="preserve">privind activitatea particular de detectiv și de pază, care prin speța sa defavorizează întreprinderile din domeniu să se dezvolte adecvat rigorilor economice (ex. interzicerea practicării altor genuri de activitate decât cel ce derivă din Legea vizată ) și tehnicelor contemporane (ex. aparataj de pază prin fir montat versus sisteme de pază digitalizate fără fir). </w:t>
            </w:r>
          </w:p>
          <w:p w14:paraId="10574930" w14:textId="77777777" w:rsidR="000E426E" w:rsidRDefault="000E426E">
            <w:pPr>
              <w:spacing w:after="0" w:line="240" w:lineRule="auto"/>
              <w:jc w:val="both"/>
              <w:rPr>
                <w:sz w:val="20"/>
                <w:szCs w:val="20"/>
              </w:rPr>
            </w:pPr>
            <w:r>
              <w:rPr>
                <w:sz w:val="20"/>
                <w:szCs w:val="20"/>
              </w:rPr>
              <w:t>Prevederile alin. (2) al art. 22 stabilesc, că organizaţia particulară de pază nu are dreptul de a practica o altă activitate de întreprinzător, cu excepţia vînzării-cumpărării utilajului necesar pentru desfășurarea activităţii particulare de pază. Astfel stabilind prin Legea vizată principiile, scopurile, subiectele şi modul de prestare a serviciilor particulare de pază, sunt restricționate principiile generale juridice, organizatorice şi economice ale activității de întreprinzător, în conformitate cu care agenții economici au dreptul, în numele lor (firmelor lor), să desfășoare activitate de întreprinzător în Republica Moldova în mod independent, din proprie inițiativă, în numele lor, pe riscul propriu şi sub răspunderea lor patrimonială, cu scopul de a-şi asigura o sursă permanentă  de venituri, și a favoriza creșterea bugetului de stat prin impozite și contribuții.</w:t>
            </w:r>
          </w:p>
        </w:tc>
        <w:tc>
          <w:tcPr>
            <w:tcW w:w="1170" w:type="dxa"/>
            <w:tcBorders>
              <w:top w:val="single" w:sz="4" w:space="0" w:color="000000"/>
              <w:left w:val="single" w:sz="4" w:space="0" w:color="000000"/>
              <w:bottom w:val="single" w:sz="4" w:space="0" w:color="000000"/>
              <w:right w:val="single" w:sz="4" w:space="0" w:color="000000"/>
            </w:tcBorders>
          </w:tcPr>
          <w:p w14:paraId="7F9F6D35" w14:textId="77777777" w:rsidR="000E426E" w:rsidRDefault="000E426E">
            <w:pPr>
              <w:spacing w:after="0" w:line="240" w:lineRule="auto"/>
              <w:jc w:val="center"/>
              <w:rPr>
                <w:color w:val="000000"/>
                <w:sz w:val="14"/>
                <w:szCs w:val="14"/>
                <w:highlight w:val="white"/>
              </w:rPr>
            </w:pPr>
            <w:r>
              <w:rPr>
                <w:sz w:val="20"/>
                <w:szCs w:val="20"/>
              </w:rPr>
              <w:lastRenderedPageBreak/>
              <w:t>APSPPD RM</w:t>
            </w:r>
          </w:p>
        </w:tc>
        <w:tc>
          <w:tcPr>
            <w:tcW w:w="4140" w:type="dxa"/>
            <w:tcBorders>
              <w:top w:val="single" w:sz="4" w:space="0" w:color="000000"/>
              <w:left w:val="single" w:sz="4" w:space="0" w:color="000000"/>
              <w:bottom w:val="single" w:sz="4" w:space="0" w:color="000000"/>
              <w:right w:val="single" w:sz="4" w:space="0" w:color="000000"/>
            </w:tcBorders>
          </w:tcPr>
          <w:p w14:paraId="222D81FE" w14:textId="77777777" w:rsidR="000E426E" w:rsidRDefault="000E426E">
            <w:pPr>
              <w:spacing w:after="0" w:line="240" w:lineRule="auto"/>
              <w:jc w:val="both"/>
              <w:rPr>
                <w:color w:val="000000"/>
                <w:sz w:val="20"/>
                <w:szCs w:val="20"/>
                <w:highlight w:val="white"/>
              </w:rPr>
            </w:pPr>
            <w:r>
              <w:rPr>
                <w:color w:val="000000"/>
                <w:sz w:val="20"/>
                <w:szCs w:val="20"/>
                <w:highlight w:val="white"/>
              </w:rPr>
              <w:t>Se propune modificarea Legii 283 din 04.07.2023 privind activitatea particular de detectiv și de pază după cum urmează:</w:t>
            </w:r>
          </w:p>
          <w:p w14:paraId="46E0AAF0" w14:textId="77777777" w:rsidR="000E426E" w:rsidRDefault="000E426E">
            <w:pPr>
              <w:spacing w:after="0" w:line="240" w:lineRule="auto"/>
              <w:jc w:val="both"/>
              <w:rPr>
                <w:color w:val="000000"/>
                <w:sz w:val="20"/>
                <w:szCs w:val="20"/>
                <w:highlight w:val="white"/>
              </w:rPr>
            </w:pPr>
            <w:r>
              <w:rPr>
                <w:color w:val="000000"/>
                <w:sz w:val="20"/>
                <w:szCs w:val="20"/>
                <w:highlight w:val="white"/>
              </w:rPr>
              <w:t>La art. 22, alin. (2) se abrogă;</w:t>
            </w:r>
          </w:p>
          <w:p w14:paraId="340AA5D6" w14:textId="77777777" w:rsidR="000E426E" w:rsidRDefault="000E426E">
            <w:pPr>
              <w:spacing w:after="0" w:line="240" w:lineRule="auto"/>
              <w:jc w:val="both"/>
              <w:rPr>
                <w:color w:val="000000"/>
                <w:sz w:val="20"/>
                <w:szCs w:val="20"/>
                <w:highlight w:val="white"/>
              </w:rPr>
            </w:pPr>
          </w:p>
          <w:p w14:paraId="1788C4C2" w14:textId="77777777" w:rsidR="000E426E" w:rsidRDefault="000E426E">
            <w:pPr>
              <w:spacing w:after="0" w:line="240" w:lineRule="auto"/>
              <w:jc w:val="both"/>
              <w:rPr>
                <w:sz w:val="20"/>
                <w:szCs w:val="20"/>
              </w:rPr>
            </w:pPr>
          </w:p>
        </w:tc>
        <w:tc>
          <w:tcPr>
            <w:tcW w:w="3330" w:type="dxa"/>
            <w:tcBorders>
              <w:top w:val="single" w:sz="4" w:space="0" w:color="000000"/>
              <w:left w:val="single" w:sz="4" w:space="0" w:color="000000"/>
              <w:bottom w:val="single" w:sz="4" w:space="0" w:color="000000"/>
              <w:right w:val="single" w:sz="4" w:space="0" w:color="000000"/>
            </w:tcBorders>
          </w:tcPr>
          <w:p w14:paraId="74F0FAEC" w14:textId="77777777" w:rsidR="000E426E" w:rsidRDefault="000E426E">
            <w:pPr>
              <w:spacing w:after="0" w:line="240" w:lineRule="auto"/>
              <w:jc w:val="both"/>
              <w:rPr>
                <w:sz w:val="20"/>
                <w:szCs w:val="20"/>
              </w:rPr>
            </w:pPr>
            <w:r>
              <w:rPr>
                <w:sz w:val="20"/>
                <w:szCs w:val="20"/>
              </w:rPr>
              <w:lastRenderedPageBreak/>
              <w:t xml:space="preserve">Vor fi excluse interdicțiile nejustificate pentru activitatea de întreprinzător, fapt ce va contribui la dezvoltarea economică, crearea locurilor de </w:t>
            </w:r>
            <w:r>
              <w:rPr>
                <w:sz w:val="20"/>
                <w:szCs w:val="20"/>
              </w:rPr>
              <w:lastRenderedPageBreak/>
              <w:t xml:space="preserve">muncă și sporirea veniturilor bugetului de stat. </w:t>
            </w:r>
          </w:p>
        </w:tc>
      </w:tr>
      <w:tr w:rsidR="000E426E" w14:paraId="1258CD1B"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127AFE0"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6A92E496" w14:textId="77777777" w:rsidR="000E426E" w:rsidRDefault="000E426E">
            <w:pPr>
              <w:spacing w:after="0" w:line="240" w:lineRule="auto"/>
              <w:jc w:val="both"/>
              <w:rPr>
                <w:sz w:val="20"/>
                <w:szCs w:val="20"/>
              </w:rPr>
            </w:pPr>
            <w:r>
              <w:rPr>
                <w:sz w:val="20"/>
                <w:szCs w:val="20"/>
              </w:rPr>
              <w:t>Alin. (2) al art. 26 din Legea 283 din 04.07.2023 privind activitatea particular de detectiv și de pază prevede, că Instalarea, precum şi orice modificare adusă sistemelor de alarmare, se efectuează numai după avizarea proiectelor de către organul de poliţie competent, care controlează stadiul lucrărilor, inclusiv punerea în funcţiune. Aceste prevederi constituie o barieră birocratică nejustificată și necesită a fi exclusă.</w:t>
            </w:r>
          </w:p>
          <w:p w14:paraId="205841E3" w14:textId="77777777" w:rsidR="000E426E" w:rsidRDefault="000E426E">
            <w:pPr>
              <w:spacing w:after="0" w:line="240" w:lineRule="auto"/>
              <w:jc w:val="both"/>
              <w:rPr>
                <w:sz w:val="20"/>
                <w:szCs w:val="20"/>
              </w:rPr>
            </w:pPr>
            <w:r>
              <w:rPr>
                <w:sz w:val="20"/>
                <w:szCs w:val="20"/>
              </w:rPr>
              <w:t>Astfel apare necesitatea de a opera careva modificări în legislație și expunerea unor soluții clare și benefice pentru prestatori, consumatori precum și societate în general.</w:t>
            </w:r>
          </w:p>
          <w:p w14:paraId="74E455E9"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6C0D18A" w14:textId="77777777" w:rsidR="000E426E" w:rsidRDefault="000E426E">
            <w:pPr>
              <w:spacing w:after="0" w:line="240" w:lineRule="auto"/>
              <w:jc w:val="center"/>
              <w:rPr>
                <w:sz w:val="20"/>
                <w:szCs w:val="20"/>
                <w:highlight w:val="white"/>
              </w:rPr>
            </w:pPr>
            <w:r>
              <w:rPr>
                <w:sz w:val="20"/>
                <w:szCs w:val="20"/>
                <w:highlight w:val="white"/>
              </w:rPr>
              <w:t>APSPPD RM</w:t>
            </w:r>
          </w:p>
        </w:tc>
        <w:tc>
          <w:tcPr>
            <w:tcW w:w="4140" w:type="dxa"/>
            <w:tcBorders>
              <w:top w:val="single" w:sz="4" w:space="0" w:color="000000"/>
              <w:left w:val="single" w:sz="4" w:space="0" w:color="000000"/>
              <w:bottom w:val="single" w:sz="4" w:space="0" w:color="000000"/>
              <w:right w:val="single" w:sz="4" w:space="0" w:color="000000"/>
            </w:tcBorders>
          </w:tcPr>
          <w:p w14:paraId="5E338BC0" w14:textId="77777777" w:rsidR="000E426E" w:rsidRDefault="000E426E">
            <w:pPr>
              <w:spacing w:after="0" w:line="240" w:lineRule="auto"/>
              <w:jc w:val="both"/>
              <w:rPr>
                <w:sz w:val="20"/>
                <w:szCs w:val="20"/>
              </w:rPr>
            </w:pPr>
            <w:r>
              <w:rPr>
                <w:sz w:val="20"/>
                <w:szCs w:val="20"/>
              </w:rPr>
              <w:t>Se propune modificarea Legii 283 din 04.07.2023 privind activitatea particular de detectiv și de pază după cum urmează:</w:t>
            </w:r>
          </w:p>
          <w:p w14:paraId="7A851EE3" w14:textId="77777777" w:rsidR="000E426E" w:rsidRDefault="000E426E">
            <w:pPr>
              <w:spacing w:after="0" w:line="240" w:lineRule="auto"/>
              <w:jc w:val="both"/>
              <w:rPr>
                <w:sz w:val="20"/>
                <w:szCs w:val="20"/>
              </w:rPr>
            </w:pPr>
            <w:r>
              <w:rPr>
                <w:sz w:val="20"/>
                <w:szCs w:val="20"/>
              </w:rPr>
              <w:t>Alin.(2) al art. 26 va avea următorul cuprins: „(2) Despre instalarea, precum şi orice modificare adusă sistemelor de alarmare, se informează organul de poliție competent în timp de 30 zile după conectare. În cazul în care persoanele competente din cadrul organului de poliție depistează obiecții la documentație prezentată, aceasta se va prescrie de a fi modificat corespunzător.”</w:t>
            </w:r>
          </w:p>
        </w:tc>
        <w:tc>
          <w:tcPr>
            <w:tcW w:w="3330" w:type="dxa"/>
            <w:tcBorders>
              <w:top w:val="single" w:sz="4" w:space="0" w:color="000000"/>
              <w:left w:val="single" w:sz="4" w:space="0" w:color="000000"/>
              <w:bottom w:val="single" w:sz="4" w:space="0" w:color="000000"/>
              <w:right w:val="single" w:sz="4" w:space="0" w:color="000000"/>
            </w:tcBorders>
          </w:tcPr>
          <w:p w14:paraId="5FFED802" w14:textId="77777777" w:rsidR="000E426E" w:rsidRDefault="000E426E">
            <w:pPr>
              <w:spacing w:after="0" w:line="240" w:lineRule="auto"/>
              <w:jc w:val="both"/>
              <w:rPr>
                <w:sz w:val="20"/>
                <w:szCs w:val="20"/>
              </w:rPr>
            </w:pPr>
            <w:r>
              <w:rPr>
                <w:sz w:val="20"/>
                <w:szCs w:val="20"/>
              </w:rPr>
              <w:t>Vor fi excluse barierele birocratice nejustificate, fiind micșorate costurile pentru mediul de afaceri.</w:t>
            </w:r>
          </w:p>
        </w:tc>
      </w:tr>
      <w:tr w:rsidR="000E426E" w14:paraId="77C09102"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73C13A3B"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56E3D6D4" w14:textId="77777777" w:rsidR="000E426E" w:rsidRDefault="000E426E">
            <w:pPr>
              <w:spacing w:after="0" w:line="240" w:lineRule="auto"/>
              <w:jc w:val="both"/>
              <w:rPr>
                <w:sz w:val="20"/>
                <w:szCs w:val="20"/>
              </w:rPr>
            </w:pPr>
            <w:r>
              <w:rPr>
                <w:sz w:val="20"/>
                <w:szCs w:val="20"/>
              </w:rPr>
              <w:t xml:space="preserve">Legea 283 din 04.07.2023 privind activitatea particular de detectiv și de pază nu reglementează exhaustiv procedura de primire, examinare şi aprobare a documentației de proiectare. Totodată menționăm, că proiectarea, instalarea și întreținerea sistemelor de </w:t>
            </w:r>
            <w:r>
              <w:rPr>
                <w:sz w:val="20"/>
                <w:szCs w:val="20"/>
              </w:rPr>
              <w:lastRenderedPageBreak/>
              <w:t>alarmare, a componentelor acestora, precum și exploatarea dispeceratelor de monitorizare  a alarmelor se efectuează prin intermediul specialiștilor (ingineri în domeniul electronic) angajați în domeniul dat. Însă acest serviciu se confundă de către organul de supraveghere cu lucrările efectuate de proiectanții din domeniul construcțiilor de clădiri. Astfel, este necesar de clarifica și concretiza aspectele respective prin modificarea corespunzătoare a legii.</w:t>
            </w:r>
          </w:p>
        </w:tc>
        <w:tc>
          <w:tcPr>
            <w:tcW w:w="1170" w:type="dxa"/>
            <w:tcBorders>
              <w:top w:val="single" w:sz="4" w:space="0" w:color="000000"/>
              <w:left w:val="single" w:sz="4" w:space="0" w:color="000000"/>
              <w:bottom w:val="single" w:sz="4" w:space="0" w:color="000000"/>
              <w:right w:val="single" w:sz="4" w:space="0" w:color="000000"/>
            </w:tcBorders>
          </w:tcPr>
          <w:p w14:paraId="7DB56458"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APSPPD RM</w:t>
            </w:r>
          </w:p>
        </w:tc>
        <w:tc>
          <w:tcPr>
            <w:tcW w:w="4140" w:type="dxa"/>
            <w:tcBorders>
              <w:top w:val="single" w:sz="4" w:space="0" w:color="000000"/>
              <w:left w:val="single" w:sz="4" w:space="0" w:color="000000"/>
              <w:bottom w:val="single" w:sz="4" w:space="0" w:color="000000"/>
              <w:right w:val="single" w:sz="4" w:space="0" w:color="000000"/>
            </w:tcBorders>
          </w:tcPr>
          <w:p w14:paraId="32D7824D" w14:textId="77777777" w:rsidR="000E426E" w:rsidRDefault="000E426E">
            <w:pPr>
              <w:spacing w:after="0" w:line="240" w:lineRule="auto"/>
              <w:jc w:val="both"/>
              <w:rPr>
                <w:sz w:val="20"/>
                <w:szCs w:val="20"/>
              </w:rPr>
            </w:pPr>
            <w:r>
              <w:rPr>
                <w:sz w:val="20"/>
                <w:szCs w:val="20"/>
              </w:rPr>
              <w:t>Se propune modificarea Legii 283 din 04.07.2023 privind activitatea particular de detectiv și de pază după cum urmează:</w:t>
            </w:r>
          </w:p>
          <w:p w14:paraId="10AE810B" w14:textId="77777777" w:rsidR="000E426E" w:rsidRDefault="000E426E">
            <w:pPr>
              <w:spacing w:after="0" w:line="240" w:lineRule="auto"/>
              <w:jc w:val="both"/>
              <w:rPr>
                <w:sz w:val="20"/>
                <w:szCs w:val="20"/>
              </w:rPr>
            </w:pPr>
            <w:r>
              <w:rPr>
                <w:sz w:val="20"/>
                <w:szCs w:val="20"/>
              </w:rPr>
              <w:lastRenderedPageBreak/>
              <w:t>Punctele 29 și 30 din Regulamentul – tip al activităţii particulare de pază (anexa nr.2 la Legea 283/2023) vor avea următorul cuprins:</w:t>
            </w:r>
          </w:p>
          <w:p w14:paraId="119937E6" w14:textId="77777777" w:rsidR="000E426E" w:rsidRDefault="000E426E">
            <w:pPr>
              <w:spacing w:after="0" w:line="240" w:lineRule="auto"/>
              <w:jc w:val="both"/>
              <w:rPr>
                <w:sz w:val="20"/>
                <w:szCs w:val="20"/>
              </w:rPr>
            </w:pPr>
            <w:r>
              <w:rPr>
                <w:sz w:val="20"/>
                <w:szCs w:val="20"/>
              </w:rPr>
              <w:t>„29. Primirea și examinarea documentației de proiectare se efectuează în modul următor:</w:t>
            </w:r>
          </w:p>
          <w:p w14:paraId="3E022F2C" w14:textId="77777777" w:rsidR="000E426E" w:rsidRDefault="000E426E">
            <w:pPr>
              <w:spacing w:after="0" w:line="240" w:lineRule="auto"/>
              <w:jc w:val="both"/>
              <w:rPr>
                <w:sz w:val="20"/>
                <w:szCs w:val="20"/>
              </w:rPr>
            </w:pPr>
            <w:r>
              <w:rPr>
                <w:sz w:val="20"/>
                <w:szCs w:val="20"/>
              </w:rPr>
              <w:t>a) documentația de proiectare pentru montarea sistemelor de alarmare, se transmite de către organizația particulară de pază subdiviziunii specializate de poliție, abilitată cu controlul şi supravegherea activității organizațiilor particulare de detectiv şi de pază, sau inspectoratului teritorial de poliție în format electronic platforma E-autorizare, în timp de 30 zile de la conectarea obiectului la pază,   cu excepția sectorului locativ;</w:t>
            </w:r>
          </w:p>
          <w:p w14:paraId="74D882CC" w14:textId="77777777" w:rsidR="000E426E" w:rsidRDefault="000E426E">
            <w:pPr>
              <w:spacing w:after="0" w:line="240" w:lineRule="auto"/>
              <w:jc w:val="both"/>
              <w:rPr>
                <w:sz w:val="20"/>
                <w:szCs w:val="20"/>
              </w:rPr>
            </w:pPr>
            <w:r>
              <w:rPr>
                <w:sz w:val="20"/>
                <w:szCs w:val="20"/>
              </w:rPr>
              <w:t>b) după recepționarea, documentația de proiectare în variantă electronică rămîne în posesia subdiviziunii specializate;</w:t>
            </w:r>
          </w:p>
          <w:p w14:paraId="311EC7D1" w14:textId="77777777" w:rsidR="000E426E" w:rsidRDefault="000E426E">
            <w:pPr>
              <w:spacing w:after="0" w:line="240" w:lineRule="auto"/>
              <w:jc w:val="both"/>
              <w:rPr>
                <w:sz w:val="20"/>
                <w:szCs w:val="20"/>
              </w:rPr>
            </w:pPr>
            <w:r>
              <w:rPr>
                <w:sz w:val="20"/>
                <w:szCs w:val="20"/>
              </w:rPr>
              <w:t>d) termenul de valabilitate a actului de inspectare este de un an; acesta se prelungește tacit pe perioade similare în cazul în care în echipamentul de pază nu au survenit schimbări tehnice;</w:t>
            </w:r>
          </w:p>
          <w:p w14:paraId="04E47293" w14:textId="77777777" w:rsidR="000E426E" w:rsidRDefault="000E426E">
            <w:pPr>
              <w:spacing w:after="0" w:line="240" w:lineRule="auto"/>
              <w:jc w:val="both"/>
              <w:rPr>
                <w:sz w:val="20"/>
                <w:szCs w:val="20"/>
              </w:rPr>
            </w:pPr>
            <w:r>
              <w:rPr>
                <w:sz w:val="20"/>
                <w:szCs w:val="20"/>
              </w:rPr>
              <w:t>e) în procesul de montare a instalațiilor sistemelor de alarmare nu se admit abateri de la documentația de proiectare elaborată de organizația de pază.</w:t>
            </w:r>
          </w:p>
          <w:p w14:paraId="4B0C161E" w14:textId="77777777" w:rsidR="000E426E" w:rsidRDefault="000E426E">
            <w:pPr>
              <w:spacing w:after="0" w:line="240" w:lineRule="auto"/>
              <w:jc w:val="both"/>
              <w:rPr>
                <w:sz w:val="20"/>
                <w:szCs w:val="20"/>
              </w:rPr>
            </w:pPr>
            <w:r>
              <w:rPr>
                <w:sz w:val="20"/>
                <w:szCs w:val="20"/>
              </w:rPr>
              <w:t>30. Documentația de proiectare, va fi prezentată de organizația de pază în format electronic, în timp de 30 zile de la conectarea obiectului la pază organului abilitat cu controlul şi supravegherea activității organizațiilor particulare de detectiv şi de pază care va conține următoarele documente:</w:t>
            </w:r>
          </w:p>
          <w:p w14:paraId="29B956E4" w14:textId="77777777" w:rsidR="000E426E" w:rsidRDefault="000E426E">
            <w:pPr>
              <w:spacing w:after="0" w:line="240" w:lineRule="auto"/>
              <w:jc w:val="both"/>
              <w:rPr>
                <w:sz w:val="20"/>
                <w:szCs w:val="20"/>
              </w:rPr>
            </w:pPr>
            <w:r>
              <w:rPr>
                <w:sz w:val="20"/>
                <w:szCs w:val="20"/>
              </w:rPr>
              <w:lastRenderedPageBreak/>
              <w:t>a) Procesul-verbal de inspectare cu schița/desen preventivă a obiectului;</w:t>
            </w:r>
          </w:p>
          <w:p w14:paraId="46472213" w14:textId="77777777" w:rsidR="000E426E" w:rsidRDefault="000E426E">
            <w:pPr>
              <w:spacing w:after="0" w:line="240" w:lineRule="auto"/>
              <w:jc w:val="both"/>
              <w:rPr>
                <w:sz w:val="20"/>
                <w:szCs w:val="20"/>
              </w:rPr>
            </w:pPr>
            <w:r>
              <w:rPr>
                <w:sz w:val="20"/>
                <w:szCs w:val="20"/>
              </w:rPr>
              <w:t>b) Procesul-verbal de punere în funcțiune cu schița/proiect tehnică a sistemului pază ”.</w:t>
            </w:r>
          </w:p>
        </w:tc>
        <w:tc>
          <w:tcPr>
            <w:tcW w:w="3330" w:type="dxa"/>
            <w:tcBorders>
              <w:top w:val="single" w:sz="4" w:space="0" w:color="000000"/>
              <w:left w:val="single" w:sz="4" w:space="0" w:color="000000"/>
              <w:bottom w:val="single" w:sz="4" w:space="0" w:color="000000"/>
              <w:right w:val="single" w:sz="4" w:space="0" w:color="000000"/>
            </w:tcBorders>
          </w:tcPr>
          <w:p w14:paraId="31F3040D" w14:textId="77777777" w:rsidR="000E426E" w:rsidRDefault="000E426E">
            <w:pPr>
              <w:spacing w:after="0" w:line="240" w:lineRule="auto"/>
              <w:jc w:val="both"/>
              <w:rPr>
                <w:sz w:val="20"/>
                <w:szCs w:val="20"/>
              </w:rPr>
            </w:pPr>
            <w:r>
              <w:rPr>
                <w:sz w:val="20"/>
                <w:szCs w:val="20"/>
              </w:rPr>
              <w:lastRenderedPageBreak/>
              <w:t>Vor fi evitate posibile situații de interpretări discreționare și eronate a prevederilor legale, de abuz și de conflict.</w:t>
            </w:r>
          </w:p>
          <w:p w14:paraId="52EF35B2" w14:textId="77777777" w:rsidR="000E426E" w:rsidRDefault="000E426E">
            <w:pPr>
              <w:spacing w:after="0" w:line="240" w:lineRule="auto"/>
              <w:jc w:val="both"/>
              <w:rPr>
                <w:sz w:val="20"/>
                <w:szCs w:val="20"/>
              </w:rPr>
            </w:pPr>
            <w:r>
              <w:rPr>
                <w:sz w:val="20"/>
                <w:szCs w:val="20"/>
              </w:rPr>
              <w:lastRenderedPageBreak/>
              <w:t>Diminuarea sarcinii birocratice la emiterea actelor permisive în domeniul vizat, care sporesc riscul situațiilor de nesiguranță a bunurilor persoanelor fizice și juridice, precum și facilitarea procedurilor administrative și de comunicare electronică cu autoritățile emitente. Astfel, vor fi create premise pentru micșorarea costurilor afacerii.</w:t>
            </w:r>
          </w:p>
          <w:p w14:paraId="3DEBD8BD" w14:textId="77777777" w:rsidR="000E426E" w:rsidRDefault="000E426E">
            <w:pPr>
              <w:spacing w:after="0" w:line="240" w:lineRule="auto"/>
              <w:jc w:val="both"/>
              <w:rPr>
                <w:sz w:val="20"/>
                <w:szCs w:val="20"/>
              </w:rPr>
            </w:pPr>
          </w:p>
        </w:tc>
      </w:tr>
      <w:tr w:rsidR="000E426E" w14:paraId="24D8F890"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3187F7C2"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48389508" w14:textId="77777777" w:rsidR="000E426E" w:rsidRDefault="000E426E">
            <w:pPr>
              <w:spacing w:after="0" w:line="240" w:lineRule="auto"/>
              <w:jc w:val="both"/>
              <w:rPr>
                <w:sz w:val="20"/>
                <w:szCs w:val="20"/>
              </w:rPr>
            </w:pPr>
            <w:r>
              <w:rPr>
                <w:sz w:val="20"/>
                <w:szCs w:val="20"/>
              </w:rPr>
              <w:t>Există problema care se manifestă prin imposibilitatea angajării în câmpul muncii a agenților de pază, deoarece costul cursurilor de calificare în calitate de paznic sunt exagerat de mari pentru categoria dată de muncitori. Aceste cursuri sunt de o durată mare și organizate doar în mun. Chișinău,  ceea ce de asemenea mărește costul, candidați fiind din toate localitățile tării, trebuie să circule la Chișinău. Calculând în proporție costul per oră cursurile de  paznic sunt mai scumpe decât  studiile superioare de învățământ.</w:t>
            </w:r>
          </w:p>
          <w:p w14:paraId="3DBA3FA7" w14:textId="77777777" w:rsidR="000E426E" w:rsidRDefault="000E426E">
            <w:pPr>
              <w:spacing w:after="0" w:line="240" w:lineRule="auto"/>
              <w:jc w:val="both"/>
              <w:rPr>
                <w:sz w:val="20"/>
                <w:szCs w:val="20"/>
              </w:rPr>
            </w:pPr>
            <w:r>
              <w:rPr>
                <w:sz w:val="20"/>
                <w:szCs w:val="20"/>
              </w:rPr>
              <w:t xml:space="preserve">Cursurile sunt efectuate doar de Academia ”Ștefan cel Mare” a MAI și Institutul de Științe Penale și Criminologie Aplicată. Costul cursului variază de la 1025 lei/persoană (Academia ”Ștefan cel Mare” a MAI) până la 1560 lei/persoană (Institutul de Științe Penale și Criminologie Aplicată) pentru cursurile de calificare cu o durată de 5 săptămâni și de la 710 lei/persoană la 1060 lei/persoană pentru cursurile de perfecționare cu o durată de 3 săptămâni. </w:t>
            </w:r>
          </w:p>
          <w:p w14:paraId="2D28CB27" w14:textId="77777777" w:rsidR="000E426E" w:rsidRDefault="000E426E">
            <w:pPr>
              <w:spacing w:after="0" w:line="240" w:lineRule="auto"/>
              <w:jc w:val="both"/>
              <w:rPr>
                <w:sz w:val="20"/>
                <w:szCs w:val="20"/>
              </w:rPr>
            </w:pPr>
            <w:r>
              <w:rPr>
                <w:sz w:val="20"/>
                <w:szCs w:val="20"/>
              </w:rPr>
              <w:t>Reieșind din cele relatate – este per cost – cursurile, diurnele pentru angajații din afara Chișinăului (cursurile paznic sunt organizate doar în mun. Chișinău) permisul companiei port arme, permisul port arme angajați, fapt care face practic imposibilă organizarea serviciul de pază vizat din punct de vedere a costurilor exagerat de mari!</w:t>
            </w:r>
          </w:p>
          <w:p w14:paraId="110656B6"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B3938CB" w14:textId="77777777" w:rsidR="000E426E" w:rsidRDefault="000E426E">
            <w:pPr>
              <w:spacing w:after="0" w:line="240" w:lineRule="auto"/>
              <w:jc w:val="center"/>
              <w:rPr>
                <w:color w:val="000000"/>
                <w:sz w:val="20"/>
                <w:szCs w:val="20"/>
                <w:highlight w:val="white"/>
              </w:rPr>
            </w:pPr>
            <w:r>
              <w:rPr>
                <w:color w:val="000000"/>
                <w:sz w:val="20"/>
                <w:szCs w:val="20"/>
                <w:highlight w:val="white"/>
              </w:rPr>
              <w:t>APSPPD RM</w:t>
            </w:r>
          </w:p>
        </w:tc>
        <w:tc>
          <w:tcPr>
            <w:tcW w:w="4140" w:type="dxa"/>
            <w:tcBorders>
              <w:top w:val="single" w:sz="4" w:space="0" w:color="000000"/>
              <w:left w:val="single" w:sz="4" w:space="0" w:color="000000"/>
              <w:bottom w:val="single" w:sz="4" w:space="0" w:color="000000"/>
              <w:right w:val="single" w:sz="4" w:space="0" w:color="000000"/>
            </w:tcBorders>
          </w:tcPr>
          <w:p w14:paraId="1D4491D3" w14:textId="77777777" w:rsidR="000E426E" w:rsidRDefault="000E426E">
            <w:pPr>
              <w:spacing w:after="0" w:line="240" w:lineRule="auto"/>
              <w:jc w:val="both"/>
              <w:rPr>
                <w:sz w:val="20"/>
                <w:szCs w:val="20"/>
              </w:rPr>
            </w:pPr>
            <w:r>
              <w:rPr>
                <w:sz w:val="20"/>
                <w:szCs w:val="20"/>
              </w:rPr>
              <w:t>Articolul 22¹ alin. (1), lit.c) din Legea nr.283/2003 privind activitatea particulară de detectiv și de pază, cu modificările ulterioare, propunem a fi completată cu prevederi, care vor avea următorul cuprins:</w:t>
            </w:r>
          </w:p>
          <w:p w14:paraId="6A9B0977" w14:textId="77777777" w:rsidR="000E426E" w:rsidRDefault="000E426E">
            <w:pPr>
              <w:spacing w:after="0" w:line="240" w:lineRule="auto"/>
              <w:jc w:val="both"/>
              <w:rPr>
                <w:sz w:val="20"/>
                <w:szCs w:val="20"/>
              </w:rPr>
            </w:pPr>
            <w:r>
              <w:rPr>
                <w:sz w:val="20"/>
                <w:szCs w:val="20"/>
              </w:rPr>
              <w:t>” – sânt absolvenți ai cursurilor de calificare și perfecționare organizate la locul de serviciu, gardienii publici care nu necesită să fie dotați cu arme de foc în activitatea de prestare a serviciilor de pază fizică și au absolvit cursurile respective conform Programelor de studii elaborate de către subdiviziunile MAI cu atribuții în domeniu și au susținut examenele de calificare în fața Comisiilor din cadrul organizațiilor particulare de detectiv și de pază, constituite în acest scop prin ordinele (dispozițiile) administratorilor organizațiilor nominalizate.”</w:t>
            </w:r>
          </w:p>
          <w:p w14:paraId="58C714D0" w14:textId="77777777" w:rsidR="000E426E" w:rsidRDefault="000E426E">
            <w:pPr>
              <w:spacing w:after="0" w:line="240" w:lineRule="auto"/>
              <w:jc w:val="both"/>
              <w:rPr>
                <w:sz w:val="20"/>
                <w:szCs w:val="20"/>
              </w:rPr>
            </w:pPr>
          </w:p>
        </w:tc>
        <w:tc>
          <w:tcPr>
            <w:tcW w:w="3330" w:type="dxa"/>
            <w:tcBorders>
              <w:top w:val="single" w:sz="4" w:space="0" w:color="000000"/>
              <w:left w:val="single" w:sz="4" w:space="0" w:color="000000"/>
              <w:bottom w:val="single" w:sz="4" w:space="0" w:color="000000"/>
              <w:right w:val="single" w:sz="4" w:space="0" w:color="000000"/>
            </w:tcBorders>
          </w:tcPr>
          <w:p w14:paraId="68764FB1" w14:textId="77777777" w:rsidR="000E426E" w:rsidRDefault="000E426E">
            <w:pPr>
              <w:spacing w:after="0" w:line="240" w:lineRule="auto"/>
              <w:jc w:val="both"/>
              <w:rPr>
                <w:sz w:val="20"/>
                <w:szCs w:val="20"/>
              </w:rPr>
            </w:pPr>
            <w:r>
              <w:rPr>
                <w:sz w:val="20"/>
                <w:szCs w:val="20"/>
              </w:rPr>
              <w:t>Diminuarea cheltuielile majore suportate de către organizațiile particulare de detectiv și de pază.</w:t>
            </w:r>
          </w:p>
        </w:tc>
      </w:tr>
      <w:tr w:rsidR="00434061" w14:paraId="3CE13DA1"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4416E1CD" w14:textId="77777777" w:rsidR="00434061" w:rsidRDefault="00434061" w:rsidP="0055619C">
            <w:pPr>
              <w:spacing w:after="0" w:line="240" w:lineRule="auto"/>
              <w:jc w:val="center"/>
              <w:rPr>
                <w:sz w:val="20"/>
                <w:szCs w:val="20"/>
              </w:rPr>
            </w:pPr>
            <w:r>
              <w:rPr>
                <w:b/>
                <w:sz w:val="20"/>
                <w:szCs w:val="20"/>
              </w:rPr>
              <w:t>DOMENIUL  – REPATRIEREA MIJLOACELOR BĂNEȘTI</w:t>
            </w:r>
          </w:p>
        </w:tc>
      </w:tr>
      <w:tr w:rsidR="000E426E" w14:paraId="07C152E4"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3D558180"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1455F048" w14:textId="77777777" w:rsidR="000E426E" w:rsidRDefault="000E426E">
            <w:pPr>
              <w:spacing w:after="0" w:line="240" w:lineRule="auto"/>
              <w:jc w:val="both"/>
              <w:rPr>
                <w:sz w:val="20"/>
                <w:szCs w:val="20"/>
              </w:rPr>
            </w:pPr>
            <w:r>
              <w:rPr>
                <w:sz w:val="20"/>
                <w:szCs w:val="20"/>
              </w:rPr>
              <w:t xml:space="preserve">Una din provocările identificate de mediul de afaceri ține și de obligațiile privind repatrierea mijloacelor bănești, care se impun prin Legea nr. 1466/1998. Prin prevederile Legii în cauză, agenții economici rezidenți de bună-credință sunt pasibili de răspundere și pot fi sancționați pentru acțiunile/inacțiunile companiilor nerezidente care nu îşi îndeplinesc obligațiile contractuale (adică, neachitarea în termen pentru mărfurile/serviciile procurate). Astfel, pe lângă faptul suportării unor prejudicii financiare cauzate de neexecutarea de către terți a obligațiilor contractuale, agenții </w:t>
            </w:r>
            <w:r>
              <w:rPr>
                <w:sz w:val="20"/>
                <w:szCs w:val="20"/>
              </w:rPr>
              <w:lastRenderedPageBreak/>
              <w:t>economici rezidenți sunt pasibili suplimentar la sancțiunile din partea Statului - prevăzute de Legea cu privire la repatriere. Considerăm că agenții economici nu ar trebui să fie sancționați de două ori pentru imposibilitatea recuperării datoriilor legate de activitatea comercială externă. Mai mult decât atât, considerăm că prin abrogarea Legii nu va avea de suferit securitatea statului (așa cum prevede art. 1 alin. (2) al Legii), deoarece agenții economici însuși sunt interesați în repatrierea și încasarea mijloacelor bănești din comerțul extern. De asemenea, astfel de reglementări nu se regăsesc în practica statelor europene. În aceste condiții, este firesc să fie anulată practica învechită, care nu este conformă acquis-ului comunitar.</w:t>
            </w:r>
          </w:p>
        </w:tc>
        <w:tc>
          <w:tcPr>
            <w:tcW w:w="1170" w:type="dxa"/>
            <w:tcBorders>
              <w:top w:val="single" w:sz="4" w:space="0" w:color="000000"/>
              <w:left w:val="single" w:sz="4" w:space="0" w:color="000000"/>
              <w:bottom w:val="single" w:sz="4" w:space="0" w:color="000000"/>
              <w:right w:val="single" w:sz="4" w:space="0" w:color="000000"/>
            </w:tcBorders>
          </w:tcPr>
          <w:p w14:paraId="3FEFB965"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FIA</w:t>
            </w:r>
          </w:p>
        </w:tc>
        <w:tc>
          <w:tcPr>
            <w:tcW w:w="4140" w:type="dxa"/>
            <w:tcBorders>
              <w:top w:val="single" w:sz="4" w:space="0" w:color="000000"/>
              <w:left w:val="single" w:sz="4" w:space="0" w:color="000000"/>
              <w:bottom w:val="single" w:sz="4" w:space="0" w:color="000000"/>
              <w:right w:val="single" w:sz="4" w:space="0" w:color="000000"/>
            </w:tcBorders>
          </w:tcPr>
          <w:p w14:paraId="6AA83D38" w14:textId="77777777" w:rsidR="000E426E" w:rsidRDefault="000E426E">
            <w:pPr>
              <w:spacing w:after="0" w:line="240" w:lineRule="auto"/>
              <w:jc w:val="both"/>
              <w:rPr>
                <w:sz w:val="20"/>
                <w:szCs w:val="20"/>
              </w:rPr>
            </w:pPr>
            <w:r>
              <w:rPr>
                <w:sz w:val="20"/>
                <w:szCs w:val="20"/>
              </w:rPr>
              <w:t>Se propune abrogarea Legii nr.1466/1998 cu privire la reglementarea repatrierii de mijloace băneşti, mărfuri şi servicii provenite din tranzacțiile economice externe în vederea anulării oricăror restricții privind circulația capitalului, în particular în ceea ce privește obligațiile privind repatrierea mijloacelor bănești (în corespundere cu practicile comunitare).</w:t>
            </w:r>
          </w:p>
        </w:tc>
        <w:tc>
          <w:tcPr>
            <w:tcW w:w="3330" w:type="dxa"/>
            <w:tcBorders>
              <w:top w:val="single" w:sz="4" w:space="0" w:color="000000"/>
              <w:left w:val="single" w:sz="4" w:space="0" w:color="000000"/>
              <w:bottom w:val="single" w:sz="4" w:space="0" w:color="000000"/>
              <w:right w:val="single" w:sz="4" w:space="0" w:color="000000"/>
            </w:tcBorders>
          </w:tcPr>
          <w:p w14:paraId="53416BE7" w14:textId="77777777" w:rsidR="000E426E" w:rsidRDefault="000E426E">
            <w:pPr>
              <w:spacing w:after="0" w:line="240" w:lineRule="auto"/>
              <w:jc w:val="both"/>
              <w:rPr>
                <w:sz w:val="20"/>
                <w:szCs w:val="20"/>
              </w:rPr>
            </w:pPr>
            <w:r>
              <w:rPr>
                <w:sz w:val="20"/>
                <w:szCs w:val="20"/>
              </w:rPr>
              <w:t>Eliminarea riscurilor nespecifice afacerilor prin impunerea unor reglementări nejustificate</w:t>
            </w:r>
          </w:p>
        </w:tc>
      </w:tr>
      <w:tr w:rsidR="00434061" w14:paraId="3F882775"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224EAE79" w14:textId="77777777" w:rsidR="00434061" w:rsidRDefault="00434061" w:rsidP="0055619C">
            <w:pPr>
              <w:spacing w:after="0" w:line="240" w:lineRule="auto"/>
              <w:jc w:val="center"/>
              <w:rPr>
                <w:sz w:val="20"/>
                <w:szCs w:val="20"/>
              </w:rPr>
            </w:pPr>
            <w:r>
              <w:rPr>
                <w:b/>
                <w:sz w:val="20"/>
                <w:szCs w:val="20"/>
              </w:rPr>
              <w:t>DOMENIUL –  ACTIVITATEA EXECUTORILOR JUDECĂTOREȘTI</w:t>
            </w:r>
          </w:p>
        </w:tc>
      </w:tr>
      <w:tr w:rsidR="000E426E" w14:paraId="7C2BD24E"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5ACB769F"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4A9295A4" w14:textId="77777777" w:rsidR="000E426E" w:rsidRDefault="000E426E">
            <w:pPr>
              <w:spacing w:after="0" w:line="240" w:lineRule="auto"/>
              <w:jc w:val="both"/>
              <w:rPr>
                <w:sz w:val="20"/>
                <w:szCs w:val="20"/>
              </w:rPr>
            </w:pPr>
            <w:r>
              <w:rPr>
                <w:sz w:val="20"/>
                <w:szCs w:val="20"/>
              </w:rPr>
              <w:t xml:space="preserve">Art. 11 lit. n1) din Codul de Executare al Republicii Moldova prevede că, contractul de leasing are valoare de document executoriu doar în cazul în care locatorul este o organizație de creditare non-bancară sau o societate de leasing. </w:t>
            </w:r>
          </w:p>
          <w:p w14:paraId="74839349" w14:textId="77777777" w:rsidR="000E426E" w:rsidRDefault="000E426E">
            <w:pPr>
              <w:spacing w:after="0" w:line="240" w:lineRule="auto"/>
              <w:jc w:val="both"/>
              <w:rPr>
                <w:sz w:val="20"/>
                <w:szCs w:val="20"/>
              </w:rPr>
            </w:pPr>
            <w:r>
              <w:rPr>
                <w:sz w:val="20"/>
                <w:szCs w:val="20"/>
              </w:rPr>
              <w:t>Reglementarea curentă este limitativă, neconcurențială și contravine naturii juridice a leasingului financiar, fiind limitate în mod nejustificat drepturile băncilor în procesul de recuperare silită. Astfel, banca, în calitate de locator este obligată să solicite re-posesia legală a obiectelor de leasing doar prin instanța de judecată, ceea ce afectează în mod direct costul de risc și calitatea portofoliului de leasing.</w:t>
            </w:r>
          </w:p>
          <w:p w14:paraId="76B64822"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9FA40DA" w14:textId="77777777" w:rsidR="000E426E" w:rsidRDefault="000E426E">
            <w:pPr>
              <w:spacing w:after="0" w:line="240" w:lineRule="auto"/>
              <w:jc w:val="center"/>
              <w:rPr>
                <w:color w:val="000000"/>
                <w:sz w:val="20"/>
                <w:szCs w:val="20"/>
                <w:highlight w:val="white"/>
              </w:rPr>
            </w:pPr>
            <w:r>
              <w:rPr>
                <w:color w:val="000000"/>
                <w:sz w:val="20"/>
                <w:szCs w:val="20"/>
                <w:highlight w:val="white"/>
              </w:rPr>
              <w:t>FIA</w:t>
            </w:r>
          </w:p>
        </w:tc>
        <w:tc>
          <w:tcPr>
            <w:tcW w:w="4140" w:type="dxa"/>
            <w:tcBorders>
              <w:top w:val="single" w:sz="4" w:space="0" w:color="000000"/>
              <w:left w:val="single" w:sz="4" w:space="0" w:color="000000"/>
              <w:bottom w:val="single" w:sz="4" w:space="0" w:color="000000"/>
              <w:right w:val="single" w:sz="4" w:space="0" w:color="000000"/>
            </w:tcBorders>
          </w:tcPr>
          <w:p w14:paraId="2096D8D1" w14:textId="77777777" w:rsidR="000E426E" w:rsidRDefault="000E426E">
            <w:pPr>
              <w:spacing w:after="0" w:line="240" w:lineRule="auto"/>
              <w:jc w:val="both"/>
              <w:rPr>
                <w:sz w:val="20"/>
                <w:szCs w:val="20"/>
              </w:rPr>
            </w:pPr>
            <w:r>
              <w:rPr>
                <w:sz w:val="20"/>
                <w:szCs w:val="20"/>
              </w:rPr>
              <w:t>Se propune modificarea art. 11 lit. n1) din Codul de Executare al Republicii Moldova, în sensul includerii băncilor în lista locatorilor ce pot beneficia de faptul că contractul de leasing are valoare de document executoriu.</w:t>
            </w:r>
          </w:p>
        </w:tc>
        <w:tc>
          <w:tcPr>
            <w:tcW w:w="3330" w:type="dxa"/>
            <w:tcBorders>
              <w:top w:val="single" w:sz="4" w:space="0" w:color="000000"/>
              <w:left w:val="single" w:sz="4" w:space="0" w:color="000000"/>
              <w:bottom w:val="single" w:sz="4" w:space="0" w:color="000000"/>
              <w:right w:val="single" w:sz="4" w:space="0" w:color="000000"/>
            </w:tcBorders>
          </w:tcPr>
          <w:p w14:paraId="560899CC" w14:textId="77777777" w:rsidR="000E426E" w:rsidRDefault="000E426E">
            <w:pPr>
              <w:spacing w:after="0" w:line="240" w:lineRule="auto"/>
              <w:jc w:val="both"/>
              <w:rPr>
                <w:sz w:val="20"/>
                <w:szCs w:val="20"/>
              </w:rPr>
            </w:pPr>
            <w:r>
              <w:rPr>
                <w:sz w:val="20"/>
                <w:szCs w:val="20"/>
              </w:rPr>
              <w:t>Micșorarea cheltuielilor pentru bănci.</w:t>
            </w:r>
          </w:p>
        </w:tc>
      </w:tr>
      <w:tr w:rsidR="00434061" w14:paraId="752A1136"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1DCDA470" w14:textId="77777777" w:rsidR="00434061" w:rsidRDefault="00434061" w:rsidP="0055619C">
            <w:pPr>
              <w:spacing w:after="0" w:line="240" w:lineRule="auto"/>
              <w:jc w:val="center"/>
              <w:rPr>
                <w:sz w:val="20"/>
                <w:szCs w:val="20"/>
              </w:rPr>
            </w:pPr>
            <w:r>
              <w:rPr>
                <w:b/>
                <w:sz w:val="20"/>
                <w:szCs w:val="20"/>
              </w:rPr>
              <w:t>DOMENIUL – ÎNREGISTRAREA DE STAT A PERSOANELOR JURIDICE</w:t>
            </w:r>
          </w:p>
        </w:tc>
      </w:tr>
      <w:tr w:rsidR="000E426E" w14:paraId="436D2BEA"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51B99EC5"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590CDBBC" w14:textId="77777777" w:rsidR="000E426E" w:rsidRDefault="000E426E">
            <w:pPr>
              <w:spacing w:after="0" w:line="240" w:lineRule="auto"/>
              <w:jc w:val="both"/>
              <w:rPr>
                <w:sz w:val="20"/>
                <w:szCs w:val="20"/>
              </w:rPr>
            </w:pPr>
            <w:r>
              <w:rPr>
                <w:sz w:val="20"/>
                <w:szCs w:val="20"/>
              </w:rPr>
              <w:t>Art. 12 alin. (3) lit. c) liniuța 4 a Legii 220/2007 prevede că pentru înregistrarea sucursalelor persoanelor juridice autohtone, se impune a indica numele şi prenumele persoanei care exercită funcții de administrare a sucursalei, ceea ce considerăm inoportun, în condițiile fluctuației de cadre și a tendinței de reducere a birocrației în activitatea de întreprinzător.</w:t>
            </w:r>
          </w:p>
          <w:p w14:paraId="5D5691EA" w14:textId="77777777" w:rsidR="000E426E" w:rsidRDefault="000E426E">
            <w:pPr>
              <w:spacing w:after="0" w:line="240" w:lineRule="auto"/>
              <w:jc w:val="both"/>
              <w:rPr>
                <w:sz w:val="20"/>
                <w:szCs w:val="20"/>
              </w:rPr>
            </w:pPr>
            <w:r>
              <w:rPr>
                <w:sz w:val="20"/>
                <w:szCs w:val="20"/>
              </w:rPr>
              <w:t xml:space="preserve">Această prevedere, care impune persoanelor juridice să efectueze modificări în regulamentul sucursalei de fiecare dată când se modifică administratorul, de fapt, nu aduce nimănui nici o plus </w:t>
            </w:r>
            <w:r>
              <w:rPr>
                <w:sz w:val="20"/>
                <w:szCs w:val="20"/>
              </w:rPr>
              <w:lastRenderedPageBreak/>
              <w:t>valoare, ci este o povoară. De menționat, că pentru persoane juridice care au multe sucursale (de ex. băncile) modificarea administratorului sucursalei este ceva uzual și nu ar trebui să fie legată de modificarea regulamentului, acest fapt rămânând  dreptul persoanei juridice și nu obligația, analogic cum această regulă funcționează pentru Actul de constituire a  persoanei juridice (în care caz nu se prevede obligația indicării administratorului).</w:t>
            </w:r>
          </w:p>
          <w:p w14:paraId="5D2896F2"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933B30D"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FIA</w:t>
            </w:r>
          </w:p>
        </w:tc>
        <w:tc>
          <w:tcPr>
            <w:tcW w:w="4140" w:type="dxa"/>
            <w:tcBorders>
              <w:top w:val="single" w:sz="4" w:space="0" w:color="000000"/>
              <w:left w:val="single" w:sz="4" w:space="0" w:color="000000"/>
              <w:bottom w:val="single" w:sz="4" w:space="0" w:color="000000"/>
              <w:right w:val="single" w:sz="4" w:space="0" w:color="000000"/>
            </w:tcBorders>
          </w:tcPr>
          <w:p w14:paraId="4F690490" w14:textId="77777777" w:rsidR="000E426E" w:rsidRDefault="000E426E">
            <w:pPr>
              <w:spacing w:after="0" w:line="240" w:lineRule="auto"/>
              <w:jc w:val="both"/>
              <w:rPr>
                <w:sz w:val="20"/>
                <w:szCs w:val="20"/>
              </w:rPr>
            </w:pPr>
            <w:r>
              <w:rPr>
                <w:sz w:val="20"/>
                <w:szCs w:val="20"/>
              </w:rPr>
              <w:t>Se propune modificarea Art. 12 alin. (3) lit. c) liniuța 4 a Legii, astfel încât indicarea administratorului sucursalei în Regulamentul sucursalei persoanei juridice să fie doar ca o opțiune dar nu o obligație</w:t>
            </w:r>
          </w:p>
        </w:tc>
        <w:tc>
          <w:tcPr>
            <w:tcW w:w="3330" w:type="dxa"/>
            <w:tcBorders>
              <w:top w:val="single" w:sz="4" w:space="0" w:color="000000"/>
              <w:left w:val="single" w:sz="4" w:space="0" w:color="000000"/>
              <w:bottom w:val="single" w:sz="4" w:space="0" w:color="000000"/>
              <w:right w:val="single" w:sz="4" w:space="0" w:color="000000"/>
            </w:tcBorders>
          </w:tcPr>
          <w:p w14:paraId="0AE0F87C" w14:textId="77777777" w:rsidR="000E426E" w:rsidRDefault="000E426E">
            <w:pPr>
              <w:spacing w:after="0" w:line="240" w:lineRule="auto"/>
              <w:jc w:val="both"/>
              <w:rPr>
                <w:sz w:val="20"/>
                <w:szCs w:val="20"/>
              </w:rPr>
            </w:pPr>
            <w:r>
              <w:rPr>
                <w:sz w:val="20"/>
                <w:szCs w:val="20"/>
              </w:rPr>
              <w:t>Micșorarea costurilor pentru agenții economici.</w:t>
            </w:r>
          </w:p>
        </w:tc>
      </w:tr>
      <w:tr w:rsidR="00434061" w14:paraId="63D2B3B7"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441B3BD2" w14:textId="77777777" w:rsidR="00434061" w:rsidRDefault="00434061" w:rsidP="0055619C">
            <w:pPr>
              <w:spacing w:after="0" w:line="240" w:lineRule="auto"/>
              <w:jc w:val="center"/>
              <w:rPr>
                <w:sz w:val="20"/>
                <w:szCs w:val="20"/>
              </w:rPr>
            </w:pPr>
            <w:r>
              <w:rPr>
                <w:b/>
                <w:sz w:val="20"/>
                <w:szCs w:val="20"/>
              </w:rPr>
              <w:t>DOMENIUL – PROTECȚIA DATELOR CU CARACTER PERSONAL</w:t>
            </w:r>
          </w:p>
        </w:tc>
      </w:tr>
      <w:tr w:rsidR="000E426E" w14:paraId="74AE648C"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6874431E"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4F3FCC49" w14:textId="77777777" w:rsidR="000E426E" w:rsidRDefault="000E426E">
            <w:pPr>
              <w:spacing w:after="0" w:line="240" w:lineRule="auto"/>
              <w:jc w:val="both"/>
              <w:rPr>
                <w:sz w:val="20"/>
                <w:szCs w:val="20"/>
              </w:rPr>
            </w:pPr>
            <w:r>
              <w:rPr>
                <w:sz w:val="20"/>
                <w:szCs w:val="20"/>
              </w:rPr>
              <w:t xml:space="preserve">Efectuarea verificării legalității operațiunilor de prelucrare a datelor cu caracter personal de către CNPDCP, constatarea încălcărilor prevederilor legale în domeniu, constatarea faptelor contravenționale, precum și realizarea sarcinilor de agent constatator are loc în cadrul controalelor desfășurate în baza Legii nr. 133/2011 privind protecția datelor cu caracter personal, în majoritatea cazurilor, în temeiul plângerilor subiecților de date, prin solicitarea de informații din oficiu, fără a efectua controale planificate sau cu ieșire la fața locului. </w:t>
            </w:r>
          </w:p>
          <w:p w14:paraId="5D8CE60F" w14:textId="77777777" w:rsidR="000E426E" w:rsidRDefault="000E426E">
            <w:pPr>
              <w:spacing w:after="0" w:line="240" w:lineRule="auto"/>
              <w:jc w:val="both"/>
              <w:rPr>
                <w:sz w:val="20"/>
                <w:szCs w:val="20"/>
              </w:rPr>
            </w:pPr>
            <w:r>
              <w:rPr>
                <w:sz w:val="20"/>
                <w:szCs w:val="20"/>
              </w:rPr>
              <w:t>Specificăm că CNPDCP nu a efectuat și nu are capacitatea de a efectua controale planificate asupra conformității prelucrării datelor cu caracter personal cu cerințele Legii nr. 133/2011, avînd în vedere numărul mare de plângeri parvenite din partea subiecților de date, care deplâng operațiuni neconforme a datelor cu caracter personal ce îi vizează. Suplimentar, subliniem că potrivit structurii sale, CNPDCP nu are instituită/prevăzută o subdiviziune care să dețină competențe vizând analiza riscurilor, planificarea controalelor de stat, elaborarea planului anual de acţiuni care să reflecte obiectivele de activitate şi valorile-ţintă ale indicatorilor de performanţă și, respectiv, elaborarea informațiilor privind performanțele activității organului de control în baza indicatorilor de performanță.</w:t>
            </w:r>
          </w:p>
          <w:p w14:paraId="0162A99D" w14:textId="77777777" w:rsidR="000E426E" w:rsidRDefault="000E426E">
            <w:pPr>
              <w:spacing w:after="0" w:line="240" w:lineRule="auto"/>
              <w:jc w:val="both"/>
              <w:rPr>
                <w:sz w:val="20"/>
                <w:szCs w:val="20"/>
              </w:rPr>
            </w:pPr>
            <w:r>
              <w:rPr>
                <w:sz w:val="20"/>
                <w:szCs w:val="20"/>
              </w:rPr>
              <w:t xml:space="preserve">În context, Regulamentul (UE) 2016/679 prevede la art. 57 că autoritatea de supraveghere, pe teritoriul său: tratează plângerile depuse de o persoană vizată, un organism, o organizație sau o asociație în conformitate cu articolul 80 și investighează într-o măsură adecvată obiectul plângerii și informează reclamantul cu </w:t>
            </w:r>
            <w:r>
              <w:rPr>
                <w:sz w:val="20"/>
                <w:szCs w:val="20"/>
              </w:rPr>
              <w:lastRenderedPageBreak/>
              <w:t xml:space="preserve">privire la evoluția și rezultatul investigației, într-un termen rezonabil, în special dacă este necesară efectuarea unei investigații mai amănunțite sau coordonarea cu o altă autoritate de supraveghere. </w:t>
            </w:r>
          </w:p>
          <w:p w14:paraId="4111AF8C" w14:textId="77777777" w:rsidR="000E426E" w:rsidRDefault="000E426E">
            <w:pPr>
              <w:spacing w:after="0" w:line="240" w:lineRule="auto"/>
              <w:jc w:val="both"/>
              <w:rPr>
                <w:sz w:val="20"/>
                <w:szCs w:val="20"/>
              </w:rPr>
            </w:pPr>
            <w:r>
              <w:rPr>
                <w:sz w:val="20"/>
                <w:szCs w:val="20"/>
              </w:rPr>
              <w:t>Drept urmare, cadrul normativ european nu conține reglementări referitoare la atribuirea autorității de supraveghere a unor sarcini privind efectuarea de controale planificate.</w:t>
            </w:r>
          </w:p>
          <w:p w14:paraId="5E885A96"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00811CC"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Centrul Național pentru Protecția Datelor cu Caracter Personal</w:t>
            </w:r>
          </w:p>
        </w:tc>
        <w:tc>
          <w:tcPr>
            <w:tcW w:w="4140" w:type="dxa"/>
            <w:tcBorders>
              <w:top w:val="single" w:sz="4" w:space="0" w:color="000000"/>
              <w:left w:val="single" w:sz="4" w:space="0" w:color="000000"/>
              <w:bottom w:val="single" w:sz="4" w:space="0" w:color="000000"/>
              <w:right w:val="single" w:sz="4" w:space="0" w:color="000000"/>
            </w:tcBorders>
          </w:tcPr>
          <w:p w14:paraId="409F88C4" w14:textId="77777777" w:rsidR="000E426E" w:rsidRDefault="000E426E">
            <w:pPr>
              <w:spacing w:after="0" w:line="240" w:lineRule="auto"/>
              <w:jc w:val="both"/>
              <w:rPr>
                <w:sz w:val="20"/>
                <w:szCs w:val="20"/>
              </w:rPr>
            </w:pPr>
            <w:r>
              <w:rPr>
                <w:sz w:val="20"/>
                <w:szCs w:val="20"/>
              </w:rPr>
              <w:t>Se propune abrogarea art. 26 al Legii nr. 133/2011 privind protecția datelor cu caracter personal.</w:t>
            </w:r>
          </w:p>
        </w:tc>
        <w:tc>
          <w:tcPr>
            <w:tcW w:w="3330" w:type="dxa"/>
            <w:tcBorders>
              <w:top w:val="single" w:sz="4" w:space="0" w:color="000000"/>
              <w:left w:val="single" w:sz="4" w:space="0" w:color="000000"/>
              <w:bottom w:val="single" w:sz="4" w:space="0" w:color="000000"/>
              <w:right w:val="single" w:sz="4" w:space="0" w:color="000000"/>
            </w:tcBorders>
          </w:tcPr>
          <w:p w14:paraId="434E8FE2" w14:textId="77777777" w:rsidR="000E426E" w:rsidRDefault="000E426E">
            <w:pPr>
              <w:spacing w:after="0" w:line="240" w:lineRule="auto"/>
              <w:jc w:val="both"/>
              <w:rPr>
                <w:sz w:val="20"/>
                <w:szCs w:val="20"/>
              </w:rPr>
            </w:pPr>
            <w:r>
              <w:rPr>
                <w:sz w:val="20"/>
                <w:szCs w:val="20"/>
              </w:rPr>
              <w:t>Micșorarea poverii administrative și a costurilor asupra agenților economici</w:t>
            </w:r>
          </w:p>
        </w:tc>
      </w:tr>
      <w:tr w:rsidR="00434061" w14:paraId="309C2E00"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3E3C7689" w14:textId="77777777" w:rsidR="00434061" w:rsidRDefault="00434061" w:rsidP="0055619C">
            <w:pPr>
              <w:spacing w:after="0" w:line="240" w:lineRule="auto"/>
              <w:jc w:val="center"/>
              <w:rPr>
                <w:sz w:val="20"/>
                <w:szCs w:val="20"/>
              </w:rPr>
            </w:pPr>
            <w:r>
              <w:rPr>
                <w:b/>
                <w:sz w:val="20"/>
                <w:szCs w:val="20"/>
              </w:rPr>
              <w:t>DOMENIUL – PUBLICITATE</w:t>
            </w:r>
          </w:p>
        </w:tc>
      </w:tr>
      <w:tr w:rsidR="000E426E" w14:paraId="3CFF105D"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1FC3E9B4"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39E94ECC" w14:textId="77777777" w:rsidR="000E426E" w:rsidRDefault="000E426E">
            <w:pPr>
              <w:spacing w:after="0" w:line="240" w:lineRule="auto"/>
              <w:jc w:val="both"/>
              <w:rPr>
                <w:sz w:val="20"/>
                <w:szCs w:val="20"/>
              </w:rPr>
            </w:pPr>
            <w:r>
              <w:rPr>
                <w:sz w:val="20"/>
                <w:szCs w:val="20"/>
              </w:rPr>
              <w:t>Articolul 30 din Legea cu privire la publicitate nr. 62 din 17.03.2022 prevede că nu constituie publicitate exterioară şi nu necesită autorizaţie pentru dispozitiv publicitar firma cu o suprafaţă maximă de 1 m2. Considerăm, că suprafața maximă actuală reglementată de 1 metru pătrat este una insuficientă, care nu permite agenților economici să încadreze majoritatea informațiilor care se doresc a fi comunicate, inclusiv ținând cont de obligațiile impuse prin lege în ceea ce privește conținutul firmei de la locurile de comerț. Deoarece multe din firmele de la locurile de comerț au o suprafață mai mare de 1 metru pătrat, suprafața firmei care excedă această mărime este taxată neuniform și excesiv de către autoritățile publice locale. Considerăm că o suprafață de 3 metri pătrați a firmei ar fi una suficientă pentru difuzarea completă a informațiilor la locurile de comerț și nu ar putea fi considerată excesivă din perspectiva aspectului estetic și arhitectural.</w:t>
            </w:r>
          </w:p>
        </w:tc>
        <w:tc>
          <w:tcPr>
            <w:tcW w:w="1170" w:type="dxa"/>
            <w:tcBorders>
              <w:top w:val="single" w:sz="4" w:space="0" w:color="000000"/>
              <w:left w:val="single" w:sz="4" w:space="0" w:color="000000"/>
              <w:bottom w:val="single" w:sz="4" w:space="0" w:color="000000"/>
              <w:right w:val="single" w:sz="4" w:space="0" w:color="000000"/>
            </w:tcBorders>
          </w:tcPr>
          <w:p w14:paraId="4680A89F" w14:textId="77777777" w:rsidR="000E426E" w:rsidRDefault="000E426E">
            <w:pPr>
              <w:spacing w:after="0" w:line="240" w:lineRule="auto"/>
              <w:jc w:val="center"/>
              <w:rPr>
                <w:color w:val="000000"/>
                <w:sz w:val="20"/>
                <w:szCs w:val="20"/>
                <w:highlight w:val="white"/>
              </w:rPr>
            </w:pPr>
            <w:r>
              <w:rPr>
                <w:color w:val="000000"/>
                <w:sz w:val="20"/>
                <w:szCs w:val="20"/>
                <w:highlight w:val="white"/>
              </w:rPr>
              <w:t>AMCHAM</w:t>
            </w:r>
          </w:p>
        </w:tc>
        <w:tc>
          <w:tcPr>
            <w:tcW w:w="4140" w:type="dxa"/>
            <w:tcBorders>
              <w:top w:val="single" w:sz="4" w:space="0" w:color="000000"/>
              <w:left w:val="single" w:sz="4" w:space="0" w:color="000000"/>
              <w:bottom w:val="single" w:sz="4" w:space="0" w:color="000000"/>
              <w:right w:val="single" w:sz="4" w:space="0" w:color="000000"/>
            </w:tcBorders>
          </w:tcPr>
          <w:p w14:paraId="50D1C4A9" w14:textId="77777777" w:rsidR="000E426E" w:rsidRDefault="000E426E">
            <w:pPr>
              <w:spacing w:after="0" w:line="240" w:lineRule="auto"/>
              <w:jc w:val="both"/>
              <w:rPr>
                <w:sz w:val="20"/>
                <w:szCs w:val="20"/>
              </w:rPr>
            </w:pPr>
            <w:r>
              <w:rPr>
                <w:sz w:val="20"/>
                <w:szCs w:val="20"/>
              </w:rPr>
              <w:t>Se propune majorarea suprafeței maxime a firmei (de la 1m2 la 3m2 care nu va fi considerată publicitate și nu va necesita să fie autorizată.</w:t>
            </w:r>
          </w:p>
        </w:tc>
        <w:tc>
          <w:tcPr>
            <w:tcW w:w="3330" w:type="dxa"/>
            <w:tcBorders>
              <w:top w:val="single" w:sz="4" w:space="0" w:color="000000"/>
              <w:left w:val="single" w:sz="4" w:space="0" w:color="000000"/>
              <w:bottom w:val="single" w:sz="4" w:space="0" w:color="000000"/>
              <w:right w:val="single" w:sz="4" w:space="0" w:color="000000"/>
            </w:tcBorders>
          </w:tcPr>
          <w:p w14:paraId="1A726CA0" w14:textId="77777777" w:rsidR="000E426E" w:rsidRDefault="000E426E">
            <w:pPr>
              <w:spacing w:after="0" w:line="240" w:lineRule="auto"/>
              <w:jc w:val="both"/>
              <w:rPr>
                <w:sz w:val="20"/>
                <w:szCs w:val="20"/>
              </w:rPr>
            </w:pPr>
            <w:r>
              <w:rPr>
                <w:sz w:val="20"/>
                <w:szCs w:val="20"/>
              </w:rPr>
              <w:t>Micșorarea costurilor pentru agenții economici.</w:t>
            </w:r>
          </w:p>
        </w:tc>
      </w:tr>
      <w:tr w:rsidR="000E426E" w14:paraId="506CDD3F"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2023A098"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11D4B4C6" w14:textId="77777777" w:rsidR="000E426E" w:rsidRDefault="000E426E">
            <w:pPr>
              <w:spacing w:after="0" w:line="240" w:lineRule="auto"/>
              <w:jc w:val="both"/>
              <w:rPr>
                <w:sz w:val="20"/>
                <w:szCs w:val="20"/>
              </w:rPr>
            </w:pPr>
            <w:r>
              <w:rPr>
                <w:sz w:val="20"/>
                <w:szCs w:val="20"/>
              </w:rPr>
              <w:t>Legea cu privire la publicitate nu reglementează dreptul titularului actului permisiv de a prelungi termenul de valabilitate al autorizației pentru dispozitiv publicitar, stabilind în toate cazurile obligația titularului de a demonta dispozitivele publicitare fixe în termen de 15 zile lucrătoare de la expirarea termenului (alin. (4) al art. 31). Această normă contravine legii nr. 160/2011, care reglementează în art. 6 condițiile și modul de prelungire a valabilității actelor permisive.</w:t>
            </w:r>
          </w:p>
          <w:p w14:paraId="2827C355" w14:textId="77777777" w:rsidR="000E426E" w:rsidRDefault="000E426E">
            <w:pPr>
              <w:spacing w:after="0" w:line="240" w:lineRule="auto"/>
              <w:jc w:val="both"/>
              <w:rPr>
                <w:sz w:val="20"/>
                <w:szCs w:val="20"/>
              </w:rPr>
            </w:pPr>
            <w:r>
              <w:rPr>
                <w:sz w:val="20"/>
                <w:szCs w:val="20"/>
              </w:rPr>
              <w:t xml:space="preserve">În acest context este lipsită de necesitate și urmează a fi eliminată norma din art. 32, alin. (13) a Legii care prevede că în cazul în care cererea de solicitare a unei noi autorizații pentru dispozitiv publicitar este depusă cu cel mult 90 de zile şi cel puțin 30 de zile calendaristice </w:t>
            </w:r>
            <w:r>
              <w:rPr>
                <w:sz w:val="20"/>
                <w:szCs w:val="20"/>
              </w:rPr>
              <w:lastRenderedPageBreak/>
              <w:t>înainte de expirarea termenului de valabilitate al autorizației în vigoare, titularul acesteia are drept prioritar pentru eliberarea unei noi autorizații pentru aceeași locație.</w:t>
            </w:r>
          </w:p>
          <w:p w14:paraId="187D5E96"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A257A4"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AMCHAM</w:t>
            </w:r>
          </w:p>
        </w:tc>
        <w:tc>
          <w:tcPr>
            <w:tcW w:w="4140" w:type="dxa"/>
            <w:tcBorders>
              <w:top w:val="single" w:sz="4" w:space="0" w:color="000000"/>
              <w:left w:val="single" w:sz="4" w:space="0" w:color="000000"/>
              <w:bottom w:val="single" w:sz="4" w:space="0" w:color="000000"/>
              <w:right w:val="single" w:sz="4" w:space="0" w:color="000000"/>
            </w:tcBorders>
          </w:tcPr>
          <w:p w14:paraId="1B08FC6E" w14:textId="77777777" w:rsidR="000E426E" w:rsidRDefault="000E426E">
            <w:pPr>
              <w:spacing w:after="0" w:line="240" w:lineRule="auto"/>
              <w:jc w:val="both"/>
              <w:rPr>
                <w:sz w:val="20"/>
                <w:szCs w:val="20"/>
              </w:rPr>
            </w:pPr>
            <w:r>
              <w:rPr>
                <w:sz w:val="20"/>
                <w:szCs w:val="20"/>
              </w:rPr>
              <w:t>Se propune includerea posibilității de prelungire a termenului de valabilitate a autorizației pentru dispozitiv publicitar prin modificarea corespunzătoare a alin. (4) al art. 31 din Legea cu privire la publicitate.</w:t>
            </w:r>
          </w:p>
        </w:tc>
        <w:tc>
          <w:tcPr>
            <w:tcW w:w="3330" w:type="dxa"/>
            <w:tcBorders>
              <w:top w:val="single" w:sz="4" w:space="0" w:color="000000"/>
              <w:left w:val="single" w:sz="4" w:space="0" w:color="000000"/>
              <w:bottom w:val="single" w:sz="4" w:space="0" w:color="000000"/>
              <w:right w:val="single" w:sz="4" w:space="0" w:color="000000"/>
            </w:tcBorders>
          </w:tcPr>
          <w:p w14:paraId="42C8D73C" w14:textId="77777777" w:rsidR="000E426E" w:rsidRDefault="000E426E">
            <w:pPr>
              <w:spacing w:after="0" w:line="240" w:lineRule="auto"/>
              <w:jc w:val="both"/>
              <w:rPr>
                <w:sz w:val="20"/>
                <w:szCs w:val="20"/>
              </w:rPr>
            </w:pPr>
            <w:r>
              <w:rPr>
                <w:sz w:val="20"/>
                <w:szCs w:val="20"/>
              </w:rPr>
              <w:t>Micșorarea costurilor pentru agenții economici.</w:t>
            </w:r>
          </w:p>
        </w:tc>
      </w:tr>
      <w:tr w:rsidR="000E426E" w14:paraId="10075D7B"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7B70A003"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2AB78309" w14:textId="77777777" w:rsidR="000E426E" w:rsidRDefault="000E426E">
            <w:pPr>
              <w:spacing w:after="0" w:line="240" w:lineRule="auto"/>
              <w:jc w:val="both"/>
              <w:rPr>
                <w:sz w:val="20"/>
                <w:szCs w:val="20"/>
              </w:rPr>
            </w:pPr>
            <w:r>
              <w:rPr>
                <w:sz w:val="20"/>
                <w:szCs w:val="20"/>
              </w:rPr>
              <w:t>La moment Legea cu privire la publicitate prevederi de supra-reglementare în ceea ce ține de autorizarea plasării publicității pe vehicule deoarece prevede eliberarea autorizații de APL și avizului prealabil eliberat de poliție (articolul 40). Considerăm că este suficient doar avizul Poliției și necesitatea eliminării autorizației APL. Mai mult decât atât, o dată cu intrarea în vigoare a noii legi a publicității, reprezentanții mediului de afaceri au semnalat practicile (similare celor existente în cazul autorizării dispozitivelor publicitare) de refuz în eliberarea autorizațiilor pentru vehicule în lipsa regulamentelor locale privind publicitatea exterioară</w:t>
            </w:r>
          </w:p>
        </w:tc>
        <w:tc>
          <w:tcPr>
            <w:tcW w:w="1170" w:type="dxa"/>
            <w:tcBorders>
              <w:top w:val="single" w:sz="4" w:space="0" w:color="000000"/>
              <w:left w:val="single" w:sz="4" w:space="0" w:color="000000"/>
              <w:bottom w:val="single" w:sz="4" w:space="0" w:color="000000"/>
              <w:right w:val="single" w:sz="4" w:space="0" w:color="000000"/>
            </w:tcBorders>
          </w:tcPr>
          <w:p w14:paraId="5D2AB221" w14:textId="77777777" w:rsidR="000E426E" w:rsidRDefault="000E426E">
            <w:pPr>
              <w:spacing w:after="0" w:line="240" w:lineRule="auto"/>
              <w:jc w:val="center"/>
              <w:rPr>
                <w:color w:val="000000"/>
                <w:sz w:val="20"/>
                <w:szCs w:val="20"/>
                <w:highlight w:val="white"/>
              </w:rPr>
            </w:pPr>
            <w:r>
              <w:rPr>
                <w:color w:val="000000"/>
                <w:sz w:val="20"/>
                <w:szCs w:val="20"/>
                <w:highlight w:val="white"/>
              </w:rPr>
              <w:t>AMCHAM</w:t>
            </w:r>
          </w:p>
        </w:tc>
        <w:tc>
          <w:tcPr>
            <w:tcW w:w="4140" w:type="dxa"/>
            <w:tcBorders>
              <w:top w:val="single" w:sz="4" w:space="0" w:color="000000"/>
              <w:left w:val="single" w:sz="4" w:space="0" w:color="000000"/>
              <w:bottom w:val="single" w:sz="4" w:space="0" w:color="000000"/>
              <w:right w:val="single" w:sz="4" w:space="0" w:color="000000"/>
            </w:tcBorders>
          </w:tcPr>
          <w:p w14:paraId="4A008F3A" w14:textId="77777777" w:rsidR="000E426E" w:rsidRDefault="000E426E">
            <w:pPr>
              <w:spacing w:after="0" w:line="240" w:lineRule="auto"/>
              <w:jc w:val="both"/>
              <w:rPr>
                <w:sz w:val="20"/>
                <w:szCs w:val="20"/>
              </w:rPr>
            </w:pPr>
            <w:r>
              <w:rPr>
                <w:sz w:val="20"/>
                <w:szCs w:val="20"/>
              </w:rPr>
              <w:t>Se propune excluderea autorizației de plasare a publicității pe vehicule eliberate de autoritatea administrației publice locale pe al cărei teritoriu este înregistrat respectivul vehicul</w:t>
            </w:r>
          </w:p>
        </w:tc>
        <w:tc>
          <w:tcPr>
            <w:tcW w:w="3330" w:type="dxa"/>
            <w:tcBorders>
              <w:top w:val="single" w:sz="4" w:space="0" w:color="000000"/>
              <w:left w:val="single" w:sz="4" w:space="0" w:color="000000"/>
              <w:bottom w:val="single" w:sz="4" w:space="0" w:color="000000"/>
              <w:right w:val="single" w:sz="4" w:space="0" w:color="000000"/>
            </w:tcBorders>
          </w:tcPr>
          <w:p w14:paraId="12838BD9" w14:textId="77777777" w:rsidR="000E426E" w:rsidRDefault="000E426E">
            <w:pPr>
              <w:spacing w:after="0" w:line="240" w:lineRule="auto"/>
              <w:jc w:val="both"/>
              <w:rPr>
                <w:sz w:val="20"/>
                <w:szCs w:val="20"/>
              </w:rPr>
            </w:pPr>
            <w:r>
              <w:rPr>
                <w:sz w:val="20"/>
                <w:szCs w:val="20"/>
              </w:rPr>
              <w:t>Micșorarea costurilor pentru agenții economici.</w:t>
            </w:r>
          </w:p>
        </w:tc>
      </w:tr>
      <w:tr w:rsidR="000E426E" w14:paraId="118AB7E0"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599FEDF"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7FD3538D" w14:textId="77777777" w:rsidR="000E426E" w:rsidRDefault="000E426E">
            <w:pPr>
              <w:spacing w:after="0" w:line="240" w:lineRule="auto"/>
              <w:jc w:val="both"/>
              <w:rPr>
                <w:sz w:val="20"/>
                <w:szCs w:val="20"/>
              </w:rPr>
            </w:pPr>
            <w:r>
              <w:rPr>
                <w:sz w:val="20"/>
                <w:szCs w:val="20"/>
              </w:rPr>
              <w:t>Legea nr.62/2022 cu privire la publicitate stabilește că autorizația pentru dispozitiv publicitar se eliberează gratuit, pentru o perioadă de 5 ani , în conformitate cu Nomenclatorul actelor permisive prevăzut de Legea nr. 160/2011 privind reglementarea prin autorizare a activității de întreprinzător (alin.(4) al art. 32). Pe de altă parte, anexa nr. 1 la Legea nr. 160/2011 operează cu termenul de „autorizație de plasare a publicității exterioare”, care este diferit de cel utilizat în legea publicității și care creează confuzii. Aceeași anexă nu face referire la caracterul gratuit al acestui act permisiv. Nu în ultimul rând, termenul de valabilitate al actului permisiv reglementat în Legea nr. 160/2011, care este doar de 12 luni, urmează a fi corelat cu termenul din legea nr.62/2022 (5 ani).</w:t>
            </w:r>
          </w:p>
        </w:tc>
        <w:tc>
          <w:tcPr>
            <w:tcW w:w="1170" w:type="dxa"/>
            <w:tcBorders>
              <w:top w:val="single" w:sz="4" w:space="0" w:color="000000"/>
              <w:left w:val="single" w:sz="4" w:space="0" w:color="000000"/>
              <w:bottom w:val="single" w:sz="4" w:space="0" w:color="000000"/>
              <w:right w:val="single" w:sz="4" w:space="0" w:color="000000"/>
            </w:tcBorders>
          </w:tcPr>
          <w:p w14:paraId="69393E4F" w14:textId="77777777" w:rsidR="000E426E" w:rsidRDefault="000E426E">
            <w:pPr>
              <w:spacing w:after="0" w:line="240" w:lineRule="auto"/>
              <w:jc w:val="center"/>
              <w:rPr>
                <w:color w:val="000000"/>
                <w:sz w:val="20"/>
                <w:szCs w:val="20"/>
                <w:highlight w:val="white"/>
              </w:rPr>
            </w:pPr>
            <w:r>
              <w:rPr>
                <w:color w:val="000000"/>
                <w:sz w:val="20"/>
                <w:szCs w:val="20"/>
                <w:highlight w:val="white"/>
              </w:rPr>
              <w:t>AMCHAM</w:t>
            </w:r>
          </w:p>
        </w:tc>
        <w:tc>
          <w:tcPr>
            <w:tcW w:w="4140" w:type="dxa"/>
            <w:tcBorders>
              <w:top w:val="single" w:sz="4" w:space="0" w:color="000000"/>
              <w:left w:val="single" w:sz="4" w:space="0" w:color="000000"/>
              <w:bottom w:val="single" w:sz="4" w:space="0" w:color="000000"/>
              <w:right w:val="single" w:sz="4" w:space="0" w:color="000000"/>
            </w:tcBorders>
          </w:tcPr>
          <w:p w14:paraId="541840BA" w14:textId="77777777" w:rsidR="000E426E" w:rsidRDefault="000E426E">
            <w:pPr>
              <w:spacing w:after="0" w:line="240" w:lineRule="auto"/>
              <w:jc w:val="both"/>
              <w:rPr>
                <w:sz w:val="20"/>
                <w:szCs w:val="20"/>
              </w:rPr>
            </w:pPr>
            <w:r>
              <w:rPr>
                <w:sz w:val="20"/>
                <w:szCs w:val="20"/>
              </w:rPr>
              <w:t>Se propune ajustarea Nomenclatorului actelor permisive la capitolul denumirea, costul și valabilitatea autorizației publicității cu prevederile Legii noii cu privire la publicitate.</w:t>
            </w:r>
          </w:p>
        </w:tc>
        <w:tc>
          <w:tcPr>
            <w:tcW w:w="3330" w:type="dxa"/>
            <w:tcBorders>
              <w:top w:val="single" w:sz="4" w:space="0" w:color="000000"/>
              <w:left w:val="single" w:sz="4" w:space="0" w:color="000000"/>
              <w:bottom w:val="single" w:sz="4" w:space="0" w:color="000000"/>
              <w:right w:val="single" w:sz="4" w:space="0" w:color="000000"/>
            </w:tcBorders>
          </w:tcPr>
          <w:p w14:paraId="41780C37" w14:textId="77777777" w:rsidR="000E426E" w:rsidRDefault="000E426E">
            <w:pPr>
              <w:spacing w:after="0" w:line="240" w:lineRule="auto"/>
              <w:jc w:val="both"/>
              <w:rPr>
                <w:sz w:val="20"/>
                <w:szCs w:val="20"/>
              </w:rPr>
            </w:pPr>
            <w:r>
              <w:rPr>
                <w:sz w:val="20"/>
                <w:szCs w:val="20"/>
              </w:rPr>
              <w:t>Excluderea unor eventuale costuri pentru agenții economici. Evitarea unor situații de conflict.</w:t>
            </w:r>
          </w:p>
        </w:tc>
      </w:tr>
      <w:tr w:rsidR="00434061" w14:paraId="01704063"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3B8F3EFD" w14:textId="77777777" w:rsidR="00434061" w:rsidRDefault="00434061" w:rsidP="0055619C">
            <w:pPr>
              <w:spacing w:after="0" w:line="240" w:lineRule="auto"/>
              <w:jc w:val="center"/>
              <w:rPr>
                <w:sz w:val="20"/>
                <w:szCs w:val="20"/>
              </w:rPr>
            </w:pPr>
            <w:r>
              <w:rPr>
                <w:b/>
                <w:sz w:val="20"/>
                <w:szCs w:val="20"/>
              </w:rPr>
              <w:t>DOMENIUL – LICENȚIERII ACTIVITĂȚII FARMACEUTICE</w:t>
            </w:r>
          </w:p>
        </w:tc>
      </w:tr>
      <w:tr w:rsidR="000E426E" w14:paraId="2F49E55D"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3F3890BB"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78151A44" w14:textId="77777777" w:rsidR="000E426E" w:rsidRDefault="000E426E">
            <w:pPr>
              <w:spacing w:after="0" w:line="240" w:lineRule="auto"/>
              <w:jc w:val="both"/>
              <w:rPr>
                <w:sz w:val="20"/>
                <w:szCs w:val="20"/>
              </w:rPr>
            </w:pPr>
            <w:r>
              <w:rPr>
                <w:sz w:val="20"/>
                <w:szCs w:val="20"/>
              </w:rPr>
              <w:t xml:space="preserve">Legea cu privire activitatea farmaceutică prevede că prin derogare de la prevederile art.  141 și ale art. 22, condițiile de licențiere a activității farmaceutice în localitățile rurale a cărei desfășurare este subvenționată de stat sunt reglementate de către Guvern (Art. 144). Mediul de afaceri are convingerea fermă că condițiile de licențiere a activității farmaceutice în localitățile rurale urmează a fi identice atât pentru unitățile care vor fi subvenționate de către stat, cât și pentru cele care nu vor beneficia de subvenții. Considerăm că nu există </w:t>
            </w:r>
            <w:r>
              <w:rPr>
                <w:sz w:val="20"/>
                <w:szCs w:val="20"/>
              </w:rPr>
              <w:lastRenderedPageBreak/>
              <w:t>argumente de punere în viitor într-o concurență neloială a acestor două categorii de unități, atât timp cât intenția este de a extinde numărul de farmacii din aceste localități și asigurarea accesului la produse și servicii într-un asortiment mai larg.</w:t>
            </w:r>
          </w:p>
        </w:tc>
        <w:tc>
          <w:tcPr>
            <w:tcW w:w="1170" w:type="dxa"/>
            <w:tcBorders>
              <w:top w:val="single" w:sz="4" w:space="0" w:color="000000"/>
              <w:left w:val="single" w:sz="4" w:space="0" w:color="000000"/>
              <w:bottom w:val="single" w:sz="4" w:space="0" w:color="000000"/>
              <w:right w:val="single" w:sz="4" w:space="0" w:color="000000"/>
            </w:tcBorders>
          </w:tcPr>
          <w:p w14:paraId="5C9D95B7"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AMCHAM</w:t>
            </w:r>
          </w:p>
        </w:tc>
        <w:tc>
          <w:tcPr>
            <w:tcW w:w="4140" w:type="dxa"/>
            <w:tcBorders>
              <w:top w:val="single" w:sz="4" w:space="0" w:color="000000"/>
              <w:left w:val="single" w:sz="4" w:space="0" w:color="000000"/>
              <w:bottom w:val="single" w:sz="4" w:space="0" w:color="000000"/>
              <w:right w:val="single" w:sz="4" w:space="0" w:color="000000"/>
            </w:tcBorders>
          </w:tcPr>
          <w:p w14:paraId="248586CB" w14:textId="77777777" w:rsidR="000E426E" w:rsidRDefault="000E426E">
            <w:pPr>
              <w:spacing w:after="0" w:line="240" w:lineRule="auto"/>
              <w:jc w:val="both"/>
              <w:rPr>
                <w:sz w:val="20"/>
                <w:szCs w:val="20"/>
              </w:rPr>
            </w:pPr>
            <w:r>
              <w:rPr>
                <w:sz w:val="20"/>
                <w:szCs w:val="20"/>
              </w:rPr>
              <w:t>Se propune stabilirea condițiilor de licențiere unice pentru farmaciile din localitățile rurale indiferent de subvenționare.</w:t>
            </w:r>
          </w:p>
        </w:tc>
        <w:tc>
          <w:tcPr>
            <w:tcW w:w="3330" w:type="dxa"/>
            <w:tcBorders>
              <w:top w:val="single" w:sz="4" w:space="0" w:color="000000"/>
              <w:left w:val="single" w:sz="4" w:space="0" w:color="000000"/>
              <w:bottom w:val="single" w:sz="4" w:space="0" w:color="000000"/>
              <w:right w:val="single" w:sz="4" w:space="0" w:color="000000"/>
            </w:tcBorders>
          </w:tcPr>
          <w:p w14:paraId="3190D025" w14:textId="77777777" w:rsidR="000E426E" w:rsidRDefault="000E426E">
            <w:pPr>
              <w:spacing w:after="0" w:line="240" w:lineRule="auto"/>
              <w:jc w:val="both"/>
              <w:rPr>
                <w:sz w:val="20"/>
                <w:szCs w:val="20"/>
              </w:rPr>
            </w:pPr>
            <w:r>
              <w:rPr>
                <w:sz w:val="20"/>
                <w:szCs w:val="20"/>
              </w:rPr>
              <w:t>Condiții egale de activitate și excluderea unor costuri și cheltuieli pentru agenții economici.</w:t>
            </w:r>
          </w:p>
        </w:tc>
      </w:tr>
      <w:tr w:rsidR="00434061" w14:paraId="1E6A704B"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54A022F8" w14:textId="77777777" w:rsidR="00434061" w:rsidRDefault="00434061" w:rsidP="0055619C">
            <w:pPr>
              <w:spacing w:after="0" w:line="240" w:lineRule="auto"/>
              <w:jc w:val="center"/>
              <w:rPr>
                <w:sz w:val="20"/>
                <w:szCs w:val="20"/>
              </w:rPr>
            </w:pPr>
            <w:r>
              <w:rPr>
                <w:b/>
                <w:sz w:val="20"/>
                <w:szCs w:val="20"/>
              </w:rPr>
              <w:t>DOMENIUL – AVIZĂRII SANITARE</w:t>
            </w:r>
          </w:p>
        </w:tc>
      </w:tr>
      <w:tr w:rsidR="000E426E" w14:paraId="1E9E4565"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14720021" w14:textId="77777777" w:rsidR="000E426E" w:rsidRDefault="000E426E">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747BA8E8" w14:textId="77777777" w:rsidR="000E426E" w:rsidRDefault="000E426E">
            <w:pPr>
              <w:spacing w:after="0" w:line="240" w:lineRule="auto"/>
              <w:jc w:val="both"/>
              <w:rPr>
                <w:sz w:val="20"/>
                <w:szCs w:val="20"/>
              </w:rPr>
            </w:pPr>
            <w:r>
              <w:rPr>
                <w:sz w:val="20"/>
                <w:szCs w:val="20"/>
              </w:rPr>
              <w:t>Conform art. 231, alin.(9) din Legea nr.10/2009 privind supravegherea de stat a sănătății publice corespunderea produselor cu impact asupra sănătăţii publice supuse expertizei sanitare cu cerinţele regulamentelor sanitare se confirmă prin emiterea, după caz, a unuia dintre următoarele documente: a) aviz sanitar pentru producţie în serie pentru producătorii autohtoni, eliberat pe un termen de 3 ani; b) aviz sanitar pentru produsele de import, eliberat pe un termen de un an în baza contractelor de furnizare. Avizului sanitar este prevăzut și la poziția 30 din Capitolul III. Actele permisive care se încadrează în categoria certificatelor din Anexa nr.1 la Legea nr.160/2011 privind reglementarea prin autorizarea a activității de întreprinzător. În anexa respectivă de asemenea sunt prevăzuți termeni diferiți similar prevederilor Legii nr. 10/2009.</w:t>
            </w:r>
          </w:p>
          <w:p w14:paraId="470BD1F4" w14:textId="77777777" w:rsidR="000E426E" w:rsidRDefault="000E426E">
            <w:pPr>
              <w:spacing w:after="0" w:line="240" w:lineRule="auto"/>
              <w:jc w:val="both"/>
              <w:rPr>
                <w:sz w:val="20"/>
                <w:szCs w:val="20"/>
              </w:rPr>
            </w:pPr>
            <w:r>
              <w:rPr>
                <w:sz w:val="20"/>
                <w:szCs w:val="20"/>
              </w:rPr>
              <w:t>În acest sens este de remarcat tratamentul diferențiat pentru produsele autohtone și cele de import, care contravine Acordurilor internaționale la care Republica Moldova este parte. Paragraful 4 al art. III din GATT stabilește că „Produselor de pe teritoriul oricărei părți contractante importate pe teritoriul oricărei alte părți contractante li se va acorda un tratament nu mai puțin favorabil decât cel acordat produselor similare de origine națională în ceea ce privește toate legile, reglementările și cerințele care afectează vânzarea lor internă, oferirea spre vânzare, cumpărare, transport, distribuție sau utilizare....”.</w:t>
            </w:r>
          </w:p>
          <w:p w14:paraId="2B825948" w14:textId="77777777" w:rsidR="000E426E" w:rsidRDefault="000E426E">
            <w:pPr>
              <w:spacing w:after="0" w:line="240" w:lineRule="auto"/>
              <w:jc w:val="both"/>
              <w:rPr>
                <w:sz w:val="20"/>
                <w:szCs w:val="20"/>
              </w:rPr>
            </w:pPr>
            <w:r>
              <w:rPr>
                <w:sz w:val="20"/>
                <w:szCs w:val="20"/>
              </w:rPr>
              <w:t xml:space="preserve">Această diferență de termen se amplifică și prin prisma costurilor pe care le suportă agenții economici importatori față de agenții economici producători locali. Deși însăși eliberarea avizului sanitar este gratuită, eliberarea acestuia are loc în baza unor încercări de laborator. În acest sens, este de remarcat că volumul și tipul încercărilor de laborator sunt la discreția Agenției Naționale pentru Sănătate Publică (ANSP), respectiv, de facto, sunt achitate serviciile </w:t>
            </w:r>
            <w:r>
              <w:rPr>
                <w:sz w:val="20"/>
                <w:szCs w:val="20"/>
              </w:rPr>
              <w:lastRenderedPageBreak/>
              <w:t>pe care le-a solicitat ANSP și nu agentul economic, însă contul de plată este prezentat agentului economic.</w:t>
            </w:r>
          </w:p>
          <w:p w14:paraId="42A7D840" w14:textId="77777777" w:rsidR="000E426E" w:rsidRDefault="000E426E">
            <w:pPr>
              <w:spacing w:after="0" w:line="240" w:lineRule="auto"/>
              <w:jc w:val="both"/>
              <w:rPr>
                <w:sz w:val="20"/>
                <w:szCs w:val="20"/>
              </w:rPr>
            </w:pPr>
            <w:r>
              <w:rPr>
                <w:sz w:val="20"/>
                <w:szCs w:val="20"/>
              </w:rPr>
              <w:t>Ținem să remarcăm și faptul că în comunitatea UE nu există de principiu avizul sanitar.</w:t>
            </w:r>
          </w:p>
          <w:p w14:paraId="3C1FF8D3" w14:textId="77777777" w:rsidR="000E426E" w:rsidRDefault="000E426E">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998DDF" w14:textId="77777777" w:rsidR="000E426E" w:rsidRDefault="000E426E">
            <w:pPr>
              <w:spacing w:after="0" w:line="240" w:lineRule="auto"/>
              <w:jc w:val="center"/>
              <w:rPr>
                <w:color w:val="000000"/>
                <w:sz w:val="20"/>
                <w:szCs w:val="20"/>
                <w:highlight w:val="white"/>
              </w:rPr>
            </w:pPr>
            <w:r>
              <w:rPr>
                <w:color w:val="000000"/>
                <w:sz w:val="20"/>
                <w:szCs w:val="20"/>
                <w:highlight w:val="white"/>
              </w:rPr>
              <w:lastRenderedPageBreak/>
              <w:t>EBA</w:t>
            </w:r>
          </w:p>
        </w:tc>
        <w:tc>
          <w:tcPr>
            <w:tcW w:w="4140" w:type="dxa"/>
            <w:tcBorders>
              <w:top w:val="single" w:sz="4" w:space="0" w:color="000000"/>
              <w:left w:val="single" w:sz="4" w:space="0" w:color="000000"/>
              <w:bottom w:val="single" w:sz="4" w:space="0" w:color="000000"/>
              <w:right w:val="single" w:sz="4" w:space="0" w:color="000000"/>
            </w:tcBorders>
          </w:tcPr>
          <w:p w14:paraId="6AE467F8" w14:textId="77777777" w:rsidR="000E426E" w:rsidRDefault="000E426E">
            <w:pPr>
              <w:spacing w:after="0" w:line="240" w:lineRule="auto"/>
              <w:jc w:val="both"/>
              <w:rPr>
                <w:sz w:val="20"/>
                <w:szCs w:val="20"/>
              </w:rPr>
            </w:pPr>
            <w:r>
              <w:rPr>
                <w:sz w:val="20"/>
                <w:szCs w:val="20"/>
              </w:rPr>
              <w:t>Se propune uniformizarea termenului de valabilitate a avizului sanitar prin extinderea la 3 ani atât pentru produsele autohtone cât și pentru cele de import.</w:t>
            </w:r>
          </w:p>
        </w:tc>
        <w:tc>
          <w:tcPr>
            <w:tcW w:w="3330" w:type="dxa"/>
            <w:tcBorders>
              <w:top w:val="single" w:sz="4" w:space="0" w:color="000000"/>
              <w:left w:val="single" w:sz="4" w:space="0" w:color="000000"/>
              <w:bottom w:val="single" w:sz="4" w:space="0" w:color="000000"/>
              <w:right w:val="single" w:sz="4" w:space="0" w:color="000000"/>
            </w:tcBorders>
          </w:tcPr>
          <w:p w14:paraId="57758BA1" w14:textId="77777777" w:rsidR="000E426E" w:rsidRDefault="000E426E">
            <w:pPr>
              <w:spacing w:after="0" w:line="240" w:lineRule="auto"/>
              <w:jc w:val="both"/>
              <w:rPr>
                <w:sz w:val="20"/>
                <w:szCs w:val="20"/>
              </w:rPr>
            </w:pPr>
            <w:r>
              <w:rPr>
                <w:sz w:val="20"/>
                <w:szCs w:val="20"/>
              </w:rPr>
              <w:t>Micșorarea costurilor pentru agenții economici.</w:t>
            </w:r>
          </w:p>
        </w:tc>
      </w:tr>
      <w:tr w:rsidR="00434061" w14:paraId="6191822A"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19976F32" w14:textId="77777777" w:rsidR="00434061" w:rsidRDefault="00434061" w:rsidP="0055619C">
            <w:pPr>
              <w:spacing w:after="0" w:line="240" w:lineRule="auto"/>
              <w:jc w:val="center"/>
              <w:rPr>
                <w:sz w:val="20"/>
                <w:szCs w:val="20"/>
              </w:rPr>
            </w:pPr>
            <w:r>
              <w:rPr>
                <w:b/>
                <w:sz w:val="20"/>
                <w:szCs w:val="20"/>
              </w:rPr>
              <w:t>DOMENIUL – COMERȚUL INTERIOR</w:t>
            </w:r>
          </w:p>
        </w:tc>
      </w:tr>
      <w:tr w:rsidR="00F24407" w14:paraId="7236E689"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D593DD5" w14:textId="77777777" w:rsidR="00F24407" w:rsidRDefault="00F24407" w:rsidP="00F24407">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33A5BC51" w14:textId="2E5F2A87" w:rsidR="00F24407" w:rsidRDefault="00F24407" w:rsidP="00F24407">
            <w:pPr>
              <w:spacing w:after="0" w:line="240" w:lineRule="auto"/>
              <w:jc w:val="both"/>
              <w:rPr>
                <w:sz w:val="20"/>
                <w:szCs w:val="20"/>
              </w:rPr>
            </w:pPr>
            <w:r>
              <w:rPr>
                <w:sz w:val="20"/>
                <w:szCs w:val="20"/>
              </w:rPr>
              <w:t>Producătorul autohton necesită o atenție deosebită din partea statului deoarece prin activitatea sa creează locuri de muncă, fiind aduse contribuții la buget sub formă de impozite și defalcări în fondul de asigurări sociale. Promovarea produsului local prin metode administrative nu este posibilă deoarece vor fi create bariere în calea comerțului. Totuși, pentru a promova produsul local, pot fi utilizate mijloace de informare, fără a crea bariere în calea comerțului. Astfel, consumatorul necesită a fi informat referitor la țara de origine și reieșind din propriile preferințe va alege și procura produsul.</w:t>
            </w:r>
          </w:p>
        </w:tc>
        <w:tc>
          <w:tcPr>
            <w:tcW w:w="1170" w:type="dxa"/>
            <w:tcBorders>
              <w:top w:val="single" w:sz="4" w:space="0" w:color="000000"/>
              <w:left w:val="single" w:sz="4" w:space="0" w:color="000000"/>
              <w:bottom w:val="single" w:sz="4" w:space="0" w:color="000000"/>
              <w:right w:val="single" w:sz="4" w:space="0" w:color="000000"/>
            </w:tcBorders>
          </w:tcPr>
          <w:p w14:paraId="78364225" w14:textId="13EF566F" w:rsidR="00F24407" w:rsidRDefault="00F24407" w:rsidP="00F24407">
            <w:pPr>
              <w:spacing w:after="0" w:line="240" w:lineRule="auto"/>
              <w:jc w:val="center"/>
              <w:rPr>
                <w:color w:val="000000"/>
                <w:sz w:val="20"/>
                <w:szCs w:val="20"/>
                <w:highlight w:val="white"/>
              </w:rPr>
            </w:pPr>
            <w:r>
              <w:rPr>
                <w:sz w:val="20"/>
                <w:szCs w:val="20"/>
                <w:highlight w:val="white"/>
              </w:rPr>
              <w:t>CE</w:t>
            </w:r>
          </w:p>
        </w:tc>
        <w:tc>
          <w:tcPr>
            <w:tcW w:w="4140" w:type="dxa"/>
            <w:tcBorders>
              <w:top w:val="single" w:sz="4" w:space="0" w:color="000000"/>
              <w:left w:val="single" w:sz="4" w:space="0" w:color="000000"/>
              <w:bottom w:val="single" w:sz="4" w:space="0" w:color="000000"/>
              <w:right w:val="single" w:sz="4" w:space="0" w:color="000000"/>
            </w:tcBorders>
          </w:tcPr>
          <w:p w14:paraId="549473A9" w14:textId="5FD3AE8C" w:rsidR="00F24407" w:rsidRDefault="00F24407" w:rsidP="00F24407">
            <w:pPr>
              <w:spacing w:after="0" w:line="240" w:lineRule="auto"/>
              <w:jc w:val="both"/>
              <w:rPr>
                <w:sz w:val="20"/>
                <w:szCs w:val="20"/>
              </w:rPr>
            </w:pPr>
            <w:r>
              <w:rPr>
                <w:sz w:val="20"/>
                <w:szCs w:val="20"/>
              </w:rPr>
              <w:t>Se propune modificarea Legii cu privire la comerţul interior și anume a art. 20, alin. (4), fiind prevăzut că pe indicatorul de pret pentru produse se va indica si tara de origine.</w:t>
            </w:r>
          </w:p>
        </w:tc>
        <w:tc>
          <w:tcPr>
            <w:tcW w:w="3330" w:type="dxa"/>
            <w:tcBorders>
              <w:top w:val="single" w:sz="4" w:space="0" w:color="000000"/>
              <w:left w:val="single" w:sz="4" w:space="0" w:color="000000"/>
              <w:bottom w:val="single" w:sz="4" w:space="0" w:color="000000"/>
              <w:right w:val="single" w:sz="4" w:space="0" w:color="000000"/>
            </w:tcBorders>
          </w:tcPr>
          <w:p w14:paraId="5E25FBBA" w14:textId="56DC22F9" w:rsidR="00F24407" w:rsidRDefault="00F24407" w:rsidP="00F24407">
            <w:pPr>
              <w:spacing w:after="0" w:line="240" w:lineRule="auto"/>
              <w:jc w:val="both"/>
              <w:rPr>
                <w:sz w:val="20"/>
                <w:szCs w:val="20"/>
              </w:rPr>
            </w:pPr>
            <w:r>
              <w:rPr>
                <w:sz w:val="20"/>
                <w:szCs w:val="20"/>
              </w:rPr>
              <w:t>Promovarea produsului autohton prin informarea consumatorului.</w:t>
            </w:r>
          </w:p>
        </w:tc>
      </w:tr>
      <w:tr w:rsidR="00F24407" w14:paraId="66E26263"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63CF42D" w14:textId="77777777" w:rsidR="00F24407" w:rsidRDefault="00F24407" w:rsidP="00F24407">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6B700EA1" w14:textId="77777777" w:rsidR="00F24407" w:rsidRDefault="00F24407" w:rsidP="00F24407">
            <w:pPr>
              <w:spacing w:after="0" w:line="240" w:lineRule="auto"/>
              <w:jc w:val="both"/>
              <w:rPr>
                <w:sz w:val="20"/>
                <w:szCs w:val="20"/>
              </w:rPr>
            </w:pPr>
            <w:r>
              <w:rPr>
                <w:sz w:val="20"/>
                <w:szCs w:val="20"/>
              </w:rPr>
              <w:t xml:space="preserve">Legea nr. 231/2010 cu privire la comerțul interior prevede, că comerţul cu ridicata se desfăşoară prin intermediul unităţilor comerciale de tip C (unitate comercială cu o suprafață comercială de la 400 m2 până la 1000 m2 inclusiv). </w:t>
            </w:r>
          </w:p>
          <w:p w14:paraId="44EE1DBD" w14:textId="77777777" w:rsidR="00F24407" w:rsidRDefault="00F24407" w:rsidP="00F24407">
            <w:pPr>
              <w:spacing w:after="0" w:line="240" w:lineRule="auto"/>
              <w:jc w:val="both"/>
              <w:rPr>
                <w:sz w:val="20"/>
                <w:szCs w:val="20"/>
              </w:rPr>
            </w:pPr>
            <w:r>
              <w:rPr>
                <w:sz w:val="20"/>
                <w:szCs w:val="20"/>
              </w:rPr>
              <w:t xml:space="preserve">Din perspectiva economică, comerțul cu ridicata prin intermediul unităților de comerț cu suprafața comercială mai mică de 400 m.p. are multe justificări: în primul rând, acest lucru permite reducerea costurilor de închiriere și de întreținere (mai ales încălzire și alte servicii comunale) a spațiilor comerciale mari, ceea ce poate fi mai eficient în cazul în care volumul mărfurilor este relativ mic. De asemenea, comerțul cu ridicata prin intermediul unităților comerciale cu suprafața comercială mai mică de 400 m.p. facilitează optimizarea logistică și gestionarea mai precisă a stocurilor, evitând cheltuielile inutile pentru depozitarea unui număr mare de mărfuri. Mulți agenți economici, care se ocupă cu comerțul cu ridicata, importă la comandă cantități mici de mărfuri și le vând imediat (sau în scurt timp) clienților săi. În acest caz, comercianții nu au nevoie să dețină depozite sau unități comerciale de mari dimensiuni (unități comerciale de tip ”C”). Această abordare le permite comercianților să fie mai flexibili în gestionarea stocurilor și să reducă costurile </w:t>
            </w:r>
            <w:r>
              <w:rPr>
                <w:sz w:val="20"/>
                <w:szCs w:val="20"/>
              </w:rPr>
              <w:lastRenderedPageBreak/>
              <w:t xml:space="preserve">asociate cu întreținerea spațiilor comerciale. De asemenea, ajută la evitarea risipei de resurse și la furnizarea rapidă a mărfurilor proaspete la solicitarea clienților. Un număr mare de locatori, care au investit în construirea spațiilor de depozitare, subdivizate în secțiuni separate, se confruntă acum cu pierderi semnificative din cauza restricțiilor impuse de legislație, anume: locatarii, care se ocupă cu comerțul cu ridicata, sunt nevoiți să închirieze unități comerciale/depozite de tip ”C”. Aceste restricții afectează negativ locatarii (care desfășoară activități de comerț cu ridicata) și împiedică închirierea spațiilor potrivite pentru activitățile lor. </w:t>
            </w:r>
          </w:p>
          <w:p w14:paraId="7DF7C12F" w14:textId="77777777" w:rsidR="00F24407" w:rsidRDefault="00F24407" w:rsidP="00F24407">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4BB2D00" w14:textId="77777777" w:rsidR="00F24407" w:rsidRDefault="00F24407" w:rsidP="00F24407">
            <w:pPr>
              <w:spacing w:after="0" w:line="240" w:lineRule="auto"/>
              <w:jc w:val="center"/>
              <w:rPr>
                <w:color w:val="000000"/>
                <w:sz w:val="20"/>
                <w:szCs w:val="20"/>
                <w:highlight w:val="white"/>
              </w:rPr>
            </w:pPr>
            <w:r>
              <w:rPr>
                <w:color w:val="000000"/>
                <w:sz w:val="20"/>
                <w:szCs w:val="20"/>
                <w:highlight w:val="white"/>
              </w:rPr>
              <w:lastRenderedPageBreak/>
              <w:t>Asociația Națională a Restaurantelor și Localurilor de Agrement (MĂR)</w:t>
            </w:r>
          </w:p>
        </w:tc>
        <w:tc>
          <w:tcPr>
            <w:tcW w:w="4140" w:type="dxa"/>
            <w:tcBorders>
              <w:top w:val="single" w:sz="4" w:space="0" w:color="000000"/>
              <w:left w:val="single" w:sz="4" w:space="0" w:color="000000"/>
              <w:bottom w:val="single" w:sz="4" w:space="0" w:color="000000"/>
              <w:right w:val="single" w:sz="4" w:space="0" w:color="000000"/>
            </w:tcBorders>
          </w:tcPr>
          <w:p w14:paraId="3BBA1578" w14:textId="77777777" w:rsidR="00F24407" w:rsidRDefault="00F24407" w:rsidP="00F24407">
            <w:pPr>
              <w:spacing w:after="0" w:line="240" w:lineRule="auto"/>
              <w:jc w:val="both"/>
              <w:rPr>
                <w:sz w:val="20"/>
                <w:szCs w:val="20"/>
              </w:rPr>
            </w:pPr>
            <w:r>
              <w:rPr>
                <w:sz w:val="20"/>
                <w:szCs w:val="20"/>
              </w:rPr>
              <w:t>Se propune excluderea sintagmei ”de tip C (conform anexei nr.5) ” din Art. 8 alin. (1) al Legii 231/2010, cu expunerea alineatului (1) în următoare redacție: ”(1) Comerțul cu ridicata se desfășoară prin intermediul unităților comerciale, care dispun, după caz, de depozite, organizează păstrarea şi prelucrarea produselor, completează stocurile de marfă, asigură suportul informațional, prestează servicii de transport, oferă şi alte servicii aferente comerțului.”</w:t>
            </w:r>
          </w:p>
        </w:tc>
        <w:tc>
          <w:tcPr>
            <w:tcW w:w="3330" w:type="dxa"/>
            <w:tcBorders>
              <w:top w:val="single" w:sz="4" w:space="0" w:color="000000"/>
              <w:left w:val="single" w:sz="4" w:space="0" w:color="000000"/>
              <w:bottom w:val="single" w:sz="4" w:space="0" w:color="000000"/>
              <w:right w:val="single" w:sz="4" w:space="0" w:color="000000"/>
            </w:tcBorders>
          </w:tcPr>
          <w:p w14:paraId="6CD66678" w14:textId="77777777" w:rsidR="00F24407" w:rsidRDefault="00F24407" w:rsidP="00F24407">
            <w:pPr>
              <w:spacing w:after="0" w:line="240" w:lineRule="auto"/>
              <w:jc w:val="both"/>
              <w:rPr>
                <w:sz w:val="20"/>
                <w:szCs w:val="20"/>
              </w:rPr>
            </w:pPr>
            <w:r>
              <w:rPr>
                <w:sz w:val="20"/>
                <w:szCs w:val="20"/>
              </w:rPr>
              <w:t>Micșorarea costurilor pentru agenții economici.</w:t>
            </w:r>
          </w:p>
        </w:tc>
      </w:tr>
      <w:tr w:rsidR="00F24407" w14:paraId="7B642226" w14:textId="77777777" w:rsidTr="008F77D9">
        <w:trPr>
          <w:trHeight w:val="37"/>
        </w:trPr>
        <w:tc>
          <w:tcPr>
            <w:tcW w:w="14967" w:type="dxa"/>
            <w:gridSpan w:val="5"/>
            <w:tcBorders>
              <w:top w:val="single" w:sz="4" w:space="0" w:color="000000"/>
              <w:left w:val="single" w:sz="4" w:space="0" w:color="000000"/>
              <w:bottom w:val="single" w:sz="4" w:space="0" w:color="000000"/>
              <w:right w:val="single" w:sz="4" w:space="0" w:color="000000"/>
            </w:tcBorders>
          </w:tcPr>
          <w:p w14:paraId="3536338B" w14:textId="77777777" w:rsidR="00F24407" w:rsidRDefault="00F24407" w:rsidP="00F24407">
            <w:pPr>
              <w:spacing w:after="0" w:line="240" w:lineRule="auto"/>
              <w:jc w:val="center"/>
              <w:rPr>
                <w:sz w:val="20"/>
                <w:szCs w:val="20"/>
              </w:rPr>
            </w:pPr>
            <w:r>
              <w:rPr>
                <w:b/>
                <w:sz w:val="20"/>
                <w:szCs w:val="20"/>
              </w:rPr>
              <w:t>DOMENIUL – CERTIFICAREA CONFORMITĂȚII</w:t>
            </w:r>
          </w:p>
        </w:tc>
      </w:tr>
      <w:tr w:rsidR="00F24407" w14:paraId="44497285" w14:textId="77777777" w:rsidTr="008F77D9">
        <w:trPr>
          <w:trHeight w:val="37"/>
        </w:trPr>
        <w:tc>
          <w:tcPr>
            <w:tcW w:w="570" w:type="dxa"/>
            <w:tcBorders>
              <w:top w:val="single" w:sz="4" w:space="0" w:color="000000"/>
              <w:left w:val="single" w:sz="4" w:space="0" w:color="000000"/>
              <w:bottom w:val="single" w:sz="4" w:space="0" w:color="000000"/>
              <w:right w:val="single" w:sz="4" w:space="0" w:color="000000"/>
            </w:tcBorders>
          </w:tcPr>
          <w:p w14:paraId="01D02CCB" w14:textId="77777777" w:rsidR="00F24407" w:rsidRDefault="00F24407" w:rsidP="00F24407">
            <w:pPr>
              <w:numPr>
                <w:ilvl w:val="0"/>
                <w:numId w:val="1"/>
              </w:numPr>
              <w:pBdr>
                <w:top w:val="nil"/>
                <w:left w:val="nil"/>
                <w:bottom w:val="nil"/>
                <w:right w:val="nil"/>
                <w:between w:val="nil"/>
              </w:pBdr>
              <w:spacing w:after="0" w:line="240" w:lineRule="auto"/>
              <w:ind w:left="450" w:right="-30"/>
              <w:jc w:val="center"/>
              <w:rPr>
                <w:b/>
                <w:sz w:val="20"/>
                <w:szCs w:val="20"/>
              </w:rPr>
            </w:pPr>
          </w:p>
        </w:tc>
        <w:tc>
          <w:tcPr>
            <w:tcW w:w="5757" w:type="dxa"/>
            <w:tcBorders>
              <w:top w:val="single" w:sz="4" w:space="0" w:color="000000"/>
              <w:left w:val="single" w:sz="4" w:space="0" w:color="000000"/>
              <w:bottom w:val="single" w:sz="4" w:space="0" w:color="000000"/>
              <w:right w:val="single" w:sz="4" w:space="0" w:color="000000"/>
            </w:tcBorders>
          </w:tcPr>
          <w:p w14:paraId="2A530FC2" w14:textId="77777777" w:rsidR="00F24407" w:rsidRDefault="00F24407" w:rsidP="00F24407">
            <w:pPr>
              <w:spacing w:after="0" w:line="240" w:lineRule="auto"/>
              <w:jc w:val="both"/>
              <w:rPr>
                <w:sz w:val="20"/>
                <w:szCs w:val="20"/>
              </w:rPr>
            </w:pPr>
            <w:r>
              <w:rPr>
                <w:sz w:val="20"/>
                <w:szCs w:val="20"/>
              </w:rPr>
              <w:t>Acordul de Asociere stabilește expres că Republica Moldova trebuie să-si racordeze cadrul legal în așa fel, încât să fie eliminate barierele tehnice care stau în calea comerțului internațional.</w:t>
            </w:r>
          </w:p>
          <w:p w14:paraId="4F905F2B" w14:textId="77777777" w:rsidR="00F24407" w:rsidRDefault="00F24407" w:rsidP="00F24407">
            <w:pPr>
              <w:spacing w:after="0" w:line="240" w:lineRule="auto"/>
              <w:jc w:val="both"/>
              <w:rPr>
                <w:sz w:val="20"/>
                <w:szCs w:val="20"/>
              </w:rPr>
            </w:pPr>
            <w:r>
              <w:rPr>
                <w:sz w:val="20"/>
                <w:szCs w:val="20"/>
              </w:rPr>
              <w:t>Începând cu anul 2015, mai multe acte normative au fost modificate și actualizate în conformitate cu prevederile Acordului de Asociere. În speță, Legea nr. 278/2007 privind controlul tutunului (Legea nr. 278/2007), Legea nr. 420/2006 privind activitatea de reglementare tehnică (Legea nr. 420/2006) și Legea nr. 590/1995 cu privire la standardizare, au fost aduse în deplină conformitate cu practica europeană din domeniu. Ulterior, în anii 2016-2017, a urmat adoptarea unor reglementări tehnice specifice, și anume patru Regulamente sanitare care prevăd reglementări tehnice pentru produsele din tutun privind ingredientele, producerea, etichetarea, prezentarea, raportarea, notificarea, plasarea pe piață etc. (a se vedea Hotărârile Guvernului nr. 1065/2016 și nr. 613/2017). Cu toate acestea, multitudinea modificărilor aduse Legii nr. 278/2007 în 2015, precum și ulterior, nu au atins prevederile căzute în desuetudine din punct de vedere juridic, vizând – standardizarea și evaluarea conformității, și nu au actualizat Legea nr. 278/2007 în linie cu angajamentele asumate prin Acordul de Asociere și cu legislația națională din domeniu.</w:t>
            </w:r>
          </w:p>
          <w:p w14:paraId="709FCF5B" w14:textId="77777777" w:rsidR="00F24407" w:rsidRDefault="00F24407" w:rsidP="00F24407">
            <w:pPr>
              <w:spacing w:after="0" w:line="240" w:lineRule="auto"/>
              <w:jc w:val="both"/>
              <w:rPr>
                <w:sz w:val="20"/>
                <w:szCs w:val="20"/>
              </w:rPr>
            </w:pPr>
            <w:r>
              <w:rPr>
                <w:sz w:val="20"/>
                <w:szCs w:val="20"/>
              </w:rPr>
              <w:t xml:space="preserve">în anul 2016, Parlamentul Republicii Moldova a aprobat Legea nr.20/2016 cu privire la standardizarea națională, care a abrogat </w:t>
            </w:r>
            <w:r>
              <w:rPr>
                <w:sz w:val="20"/>
                <w:szCs w:val="20"/>
              </w:rPr>
              <w:lastRenderedPageBreak/>
              <w:t>Legea nr. 590/1995 cu privire la standardizare. Această nouă legislație a adus normele legale privind standardizarea în deplină conformitate cu practica europeană din domeniu și anume cu Regulamentul UE 1025/2012 privind standardizarea europeană. Astfel, noțiunea de „standarde conexe” a fost exclusă integral din Legea nr.20/2016 cu privire la standardizarea națională, și respectiv, urma să fie exclusă în decurs de 6 luni din toată legislația națională. Spre regret, noțiunea de „standarde conexe” nu a fost exclusă și din Legea nr. 278/2007 în termenul prescris de Legea nr. 20/2016, ceea ce generează neconcordanțe legale și confuzie pentru operatorii pieței.</w:t>
            </w:r>
          </w:p>
          <w:p w14:paraId="3DE2D4FD" w14:textId="77777777" w:rsidR="00F24407" w:rsidRDefault="00F24407" w:rsidP="00F24407">
            <w:pPr>
              <w:spacing w:after="0" w:line="240" w:lineRule="auto"/>
              <w:jc w:val="both"/>
              <w:rPr>
                <w:sz w:val="20"/>
                <w:szCs w:val="20"/>
              </w:rPr>
            </w:pPr>
            <w:r>
              <w:rPr>
                <w:sz w:val="20"/>
                <w:szCs w:val="20"/>
              </w:rPr>
              <w:t>În Uniunea Europeană, inclusiv în România nu există certificarea de conformitate sau declarația de conformitate obligatorie pentru produsele din tutun sau pentru orice alte bunuri de larg consum, aceste acte permisive fiind o practică specifică în mare parte spațiului CSI. Prin urmare, același lucru este necesar a fi implementat și în Republica Moldova, în linie cu angajamentele asumate prin Acordul de Asociere.</w:t>
            </w:r>
          </w:p>
          <w:p w14:paraId="4211BC5C" w14:textId="77777777" w:rsidR="00F24407" w:rsidRDefault="00F24407" w:rsidP="00F24407">
            <w:pPr>
              <w:spacing w:after="0" w:line="240" w:lineRule="auto"/>
              <w:jc w:val="both"/>
              <w:rPr>
                <w:sz w:val="20"/>
                <w:szCs w:val="20"/>
              </w:rPr>
            </w:pPr>
            <w:r>
              <w:rPr>
                <w:sz w:val="20"/>
                <w:szCs w:val="20"/>
              </w:rPr>
              <w:t>Suplimentar menționăm că în cazul certificării conformității produselor este parcursă aceeași procedură, precum și se prezintă aceleași informații ca și în cazul Avizării sanitare a produselor, care au ca rezultat de fapt obținerea a două acte permisive care în esență urmăresc același scop – de a avea produse sigure și conforme puse la dispoziția consumatorilor.</w:t>
            </w:r>
          </w:p>
          <w:p w14:paraId="3D73F614" w14:textId="77777777" w:rsidR="00F24407" w:rsidRDefault="00F24407" w:rsidP="00F24407">
            <w:pPr>
              <w:spacing w:after="0" w:line="240" w:lineRule="auto"/>
              <w:jc w:val="both"/>
              <w:rPr>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4B4433F" w14:textId="77777777" w:rsidR="00F24407" w:rsidRDefault="00F24407" w:rsidP="00F24407">
            <w:pPr>
              <w:spacing w:after="0" w:line="240" w:lineRule="auto"/>
              <w:jc w:val="center"/>
              <w:rPr>
                <w:color w:val="000000"/>
                <w:sz w:val="20"/>
                <w:szCs w:val="20"/>
                <w:highlight w:val="white"/>
              </w:rPr>
            </w:pPr>
            <w:r>
              <w:rPr>
                <w:color w:val="000000"/>
                <w:sz w:val="20"/>
                <w:szCs w:val="20"/>
                <w:highlight w:val="white"/>
              </w:rPr>
              <w:lastRenderedPageBreak/>
              <w:t>EBA</w:t>
            </w:r>
          </w:p>
        </w:tc>
        <w:tc>
          <w:tcPr>
            <w:tcW w:w="4140" w:type="dxa"/>
            <w:tcBorders>
              <w:top w:val="single" w:sz="4" w:space="0" w:color="000000"/>
              <w:left w:val="single" w:sz="4" w:space="0" w:color="000000"/>
              <w:bottom w:val="single" w:sz="4" w:space="0" w:color="000000"/>
              <w:right w:val="single" w:sz="4" w:space="0" w:color="000000"/>
            </w:tcBorders>
          </w:tcPr>
          <w:p w14:paraId="32848388" w14:textId="77777777" w:rsidR="00F24407" w:rsidRDefault="00F24407" w:rsidP="00F24407">
            <w:pPr>
              <w:spacing w:after="0" w:line="240" w:lineRule="auto"/>
              <w:jc w:val="both"/>
              <w:rPr>
                <w:sz w:val="20"/>
                <w:szCs w:val="20"/>
              </w:rPr>
            </w:pPr>
            <w:r>
              <w:rPr>
                <w:sz w:val="20"/>
                <w:szCs w:val="20"/>
              </w:rPr>
              <w:t>În scopul reducerii costurilor de desfășurare a afacerilor, eliminării poverii administrative și a birocrației excesive, dar și a simplificării procedurilor de obținere a permisiunii de a plasa pe piață produse din tutun în Republica Moldova, se propune excluderea obligativității Certificării de conformitate pentru organizațiile care importă sau produc aceste produse, fiind necesară actualizarea Legii nr. 278/2007 privind controlul tutunului cu normele curente privind standardizarea, prin excluderea noțiunii de „standarde conexe” din art. 5, precum și excluderea obligației de evaluare a conformității de la art. 9 prin abrogarea integrală a acestui articol, în concordanță cu Acordul de Asociere RM-UE și practica europeană.</w:t>
            </w:r>
          </w:p>
        </w:tc>
        <w:tc>
          <w:tcPr>
            <w:tcW w:w="3330" w:type="dxa"/>
            <w:tcBorders>
              <w:top w:val="single" w:sz="4" w:space="0" w:color="000000"/>
              <w:left w:val="single" w:sz="4" w:space="0" w:color="000000"/>
              <w:bottom w:val="single" w:sz="4" w:space="0" w:color="000000"/>
              <w:right w:val="single" w:sz="4" w:space="0" w:color="000000"/>
            </w:tcBorders>
          </w:tcPr>
          <w:p w14:paraId="20B6C25D" w14:textId="77777777" w:rsidR="00F24407" w:rsidRDefault="00F24407" w:rsidP="00F24407">
            <w:pPr>
              <w:spacing w:after="0" w:line="240" w:lineRule="auto"/>
              <w:jc w:val="both"/>
              <w:rPr>
                <w:sz w:val="20"/>
                <w:szCs w:val="20"/>
              </w:rPr>
            </w:pPr>
            <w:r>
              <w:rPr>
                <w:sz w:val="20"/>
                <w:szCs w:val="20"/>
              </w:rPr>
              <w:t>Micșorarea costurilor pentru agenții economici.</w:t>
            </w:r>
          </w:p>
        </w:tc>
      </w:tr>
    </w:tbl>
    <w:p w14:paraId="50BB23D8" w14:textId="77777777" w:rsidR="0009316C" w:rsidRDefault="0009316C">
      <w:pPr>
        <w:spacing w:after="0" w:line="240" w:lineRule="auto"/>
        <w:rPr>
          <w:sz w:val="20"/>
          <w:szCs w:val="20"/>
        </w:rPr>
      </w:pPr>
    </w:p>
    <w:p w14:paraId="365AF2E8" w14:textId="77777777" w:rsidR="0009316C" w:rsidRDefault="0009316C"/>
    <w:sectPr w:rsidR="0009316C">
      <w:pgSz w:w="16838" w:h="11906" w:orient="landscape"/>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B0C33"/>
    <w:multiLevelType w:val="multilevel"/>
    <w:tmpl w:val="4AB0B298"/>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C6121D"/>
    <w:multiLevelType w:val="multilevel"/>
    <w:tmpl w:val="1DACB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0909029">
    <w:abstractNumId w:val="1"/>
  </w:num>
  <w:num w:numId="2" w16cid:durableId="79915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16C"/>
    <w:rsid w:val="0009316C"/>
    <w:rsid w:val="000E426E"/>
    <w:rsid w:val="00434061"/>
    <w:rsid w:val="004C2F16"/>
    <w:rsid w:val="008F77D9"/>
    <w:rsid w:val="00B66399"/>
    <w:rsid w:val="00CE7DA1"/>
    <w:rsid w:val="00EE6FC9"/>
    <w:rsid w:val="00F24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A9E1"/>
  <w15:docId w15:val="{5E06949D-527A-48AE-81F9-C47D4D8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zh-C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F2754B"/>
    <w:rPr>
      <w:color w:val="0563C1" w:themeColor="hyperlink"/>
      <w:u w:val="single"/>
    </w:rPr>
  </w:style>
  <w:style w:type="paragraph" w:styleId="ListParagraph">
    <w:name w:val="List Paragraph"/>
    <w:basedOn w:val="Normal"/>
    <w:uiPriority w:val="34"/>
    <w:qFormat/>
    <w:rsid w:val="00F2754B"/>
    <w:pPr>
      <w:ind w:left="720"/>
      <w:contextualSpacing/>
    </w:pPr>
  </w:style>
  <w:style w:type="paragraph" w:styleId="NormalWeb">
    <w:name w:val="Normal (Web)"/>
    <w:basedOn w:val="Normal"/>
    <w:uiPriority w:val="99"/>
    <w:unhideWhenUsed/>
    <w:rsid w:val="009C48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mSNBe0tUqEhFzB11wRbCVZvWQ==">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7212</Words>
  <Characters>41113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Roman Ladus</cp:lastModifiedBy>
  <cp:revision>3</cp:revision>
  <dcterms:created xsi:type="dcterms:W3CDTF">2024-03-19T07:53:00Z</dcterms:created>
  <dcterms:modified xsi:type="dcterms:W3CDTF">2024-03-19T08:01:00Z</dcterms:modified>
</cp:coreProperties>
</file>