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10" w:rsidRPr="0012063A" w:rsidRDefault="008E1210" w:rsidP="008E121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Notă informativă</w:t>
      </w:r>
    </w:p>
    <w:p w:rsidR="00F667A0" w:rsidRPr="0012063A" w:rsidRDefault="008E1210" w:rsidP="008E1210">
      <w:pPr>
        <w:pBdr>
          <w:bottom w:val="single" w:sz="12" w:space="9" w:color="000000"/>
        </w:pBdr>
        <w:spacing w:after="0" w:line="240" w:lineRule="auto"/>
        <w:ind w:right="180" w:hanging="63"/>
        <w:jc w:val="center"/>
        <w:rPr>
          <w:rFonts w:ascii="Times New Roman" w:eastAsia="Times New Roman" w:hAnsi="Times New Roman" w:cs="Times New Roman"/>
          <w:b/>
          <w:sz w:val="24"/>
          <w:szCs w:val="24"/>
        </w:rPr>
      </w:pPr>
      <w:r w:rsidRPr="0012063A">
        <w:rPr>
          <w:rFonts w:ascii="Times New Roman" w:eastAsia="Times New Roman" w:hAnsi="Times New Roman" w:cs="Times New Roman"/>
          <w:b/>
          <w:sz w:val="24"/>
          <w:szCs w:val="24"/>
        </w:rPr>
        <w:t xml:space="preserve">la proiectul Hotărârii Guvernului </w:t>
      </w:r>
    </w:p>
    <w:p w:rsidR="00F667A0" w:rsidRPr="0012063A" w:rsidRDefault="008E1210" w:rsidP="008E1210">
      <w:pPr>
        <w:pBdr>
          <w:bottom w:val="single" w:sz="12" w:space="9" w:color="000000"/>
        </w:pBdr>
        <w:spacing w:after="0" w:line="240" w:lineRule="auto"/>
        <w:ind w:right="180" w:hanging="63"/>
        <w:jc w:val="center"/>
        <w:rPr>
          <w:rFonts w:ascii="Times New Roman" w:eastAsia="Times New Roman" w:hAnsi="Times New Roman" w:cs="Times New Roman"/>
          <w:b/>
          <w:i/>
          <w:sz w:val="24"/>
          <w:szCs w:val="24"/>
        </w:rPr>
      </w:pPr>
      <w:r w:rsidRPr="0012063A">
        <w:rPr>
          <w:rFonts w:ascii="Times New Roman" w:eastAsia="Times New Roman" w:hAnsi="Times New Roman" w:cs="Times New Roman"/>
          <w:b/>
          <w:i/>
          <w:sz w:val="24"/>
          <w:szCs w:val="24"/>
        </w:rPr>
        <w:t xml:space="preserve">cu privire la </w:t>
      </w:r>
      <w:r w:rsidR="00F112C0" w:rsidRPr="0012063A">
        <w:rPr>
          <w:rFonts w:ascii="Times New Roman" w:eastAsia="Times New Roman" w:hAnsi="Times New Roman" w:cs="Times New Roman"/>
          <w:b/>
          <w:i/>
          <w:sz w:val="24"/>
          <w:szCs w:val="24"/>
        </w:rPr>
        <w:t xml:space="preserve">acordul schimbării destinației unor bunuri </w:t>
      </w:r>
    </w:p>
    <w:p w:rsidR="008E1210" w:rsidRPr="0012063A" w:rsidRDefault="00F112C0" w:rsidP="008E1210">
      <w:pPr>
        <w:pBdr>
          <w:bottom w:val="single" w:sz="12" w:space="9" w:color="000000"/>
        </w:pBdr>
        <w:spacing w:after="0" w:line="240" w:lineRule="auto"/>
        <w:ind w:right="180" w:hanging="63"/>
        <w:jc w:val="center"/>
        <w:rPr>
          <w:rFonts w:ascii="Times New Roman" w:eastAsia="Times New Roman" w:hAnsi="Times New Roman" w:cs="Times New Roman"/>
          <w:b/>
          <w:i/>
          <w:sz w:val="24"/>
          <w:szCs w:val="24"/>
        </w:rPr>
      </w:pPr>
      <w:r w:rsidRPr="0012063A">
        <w:rPr>
          <w:rFonts w:ascii="Times New Roman" w:eastAsia="Times New Roman" w:hAnsi="Times New Roman" w:cs="Times New Roman"/>
          <w:b/>
          <w:i/>
          <w:sz w:val="24"/>
          <w:szCs w:val="24"/>
        </w:rPr>
        <w:t>din proprietatea unităților administrativ-teritoriale</w:t>
      </w:r>
      <w:r w:rsidR="008E1210" w:rsidRPr="0012063A">
        <w:rPr>
          <w:rFonts w:ascii="Times New Roman" w:eastAsia="Times New Roman" w:hAnsi="Times New Roman" w:cs="Times New Roman"/>
          <w:b/>
          <w:i/>
          <w:sz w:val="24"/>
          <w:szCs w:val="24"/>
        </w:rPr>
        <w:t xml:space="preserve"> </w:t>
      </w:r>
    </w:p>
    <w:p w:rsidR="008E1210" w:rsidRPr="0012063A" w:rsidRDefault="008E1210" w:rsidP="008E1210">
      <w:pPr>
        <w:pBdr>
          <w:top w:val="nil"/>
          <w:left w:val="nil"/>
          <w:bottom w:val="nil"/>
          <w:right w:val="nil"/>
          <w:between w:val="nil"/>
        </w:pBdr>
        <w:spacing w:after="0" w:line="240" w:lineRule="auto"/>
        <w:ind w:firstLine="540"/>
        <w:jc w:val="center"/>
        <w:rPr>
          <w:rFonts w:ascii="Times New Roman" w:eastAsia="Times New Roman" w:hAnsi="Times New Roman" w:cs="Times New Roman"/>
          <w:color w:val="000000"/>
          <w:sz w:val="24"/>
          <w:szCs w:val="24"/>
        </w:rPr>
      </w:pPr>
    </w:p>
    <w:tbl>
      <w:tblPr>
        <w:tblW w:w="10058" w:type="dxa"/>
        <w:tblInd w:w="-284" w:type="dxa"/>
        <w:tblLayout w:type="fixed"/>
        <w:tblLook w:val="0400" w:firstRow="0" w:lastRow="0" w:firstColumn="0" w:lastColumn="0" w:noHBand="0" w:noVBand="1"/>
      </w:tblPr>
      <w:tblGrid>
        <w:gridCol w:w="236"/>
        <w:gridCol w:w="9687"/>
        <w:gridCol w:w="55"/>
        <w:gridCol w:w="80"/>
      </w:tblGrid>
      <w:tr w:rsidR="008E1210" w:rsidRPr="0012063A" w:rsidTr="002826B2">
        <w:trPr>
          <w:gridAfter w:val="1"/>
          <w:wAfter w:w="80" w:type="dxa"/>
        </w:trPr>
        <w:tc>
          <w:tcPr>
            <w:tcW w:w="9978" w:type="dxa"/>
            <w:gridSpan w:val="3"/>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1. Denumirea autorului şi, după caz, a participanţilor</w:t>
            </w:r>
            <w:r w:rsidR="00472483" w:rsidRPr="0012063A">
              <w:rPr>
                <w:rFonts w:ascii="Times New Roman" w:eastAsia="Times New Roman" w:hAnsi="Times New Roman" w:cs="Times New Roman"/>
                <w:b/>
                <w:color w:val="000000"/>
                <w:sz w:val="24"/>
                <w:szCs w:val="24"/>
              </w:rPr>
              <w:t xml:space="preserve"> la elaborarea proiectului</w:t>
            </w:r>
            <w:r w:rsidRPr="0012063A">
              <w:rPr>
                <w:rFonts w:ascii="Times New Roman" w:eastAsia="Times New Roman" w:hAnsi="Times New Roman" w:cs="Times New Roman"/>
                <w:b/>
                <w:color w:val="000000"/>
                <w:sz w:val="24"/>
                <w:szCs w:val="24"/>
              </w:rPr>
              <w:t xml:space="preserve"> </w:t>
            </w:r>
          </w:p>
        </w:tc>
      </w:tr>
      <w:tr w:rsidR="008E1210" w:rsidRPr="0012063A" w:rsidTr="002826B2">
        <w:tc>
          <w:tcPr>
            <w:tcW w:w="236" w:type="dxa"/>
          </w:tcPr>
          <w:p w:rsidR="008E1210" w:rsidRPr="0012063A" w:rsidRDefault="008E1210" w:rsidP="003C3667">
            <w:pPr>
              <w:widowControl w:val="0"/>
              <w:pBdr>
                <w:top w:val="nil"/>
                <w:left w:val="nil"/>
                <w:bottom w:val="nil"/>
                <w:right w:val="nil"/>
                <w:between w:val="nil"/>
              </w:pBdr>
              <w:spacing w:after="0" w:line="276" w:lineRule="auto"/>
              <w:ind w:left="264" w:right="116"/>
              <w:rPr>
                <w:rFonts w:ascii="Times New Roman" w:eastAsia="Times New Roman" w:hAnsi="Times New Roman" w:cs="Times New Roman"/>
                <w:b/>
                <w:color w:val="000000"/>
                <w:sz w:val="24"/>
                <w:szCs w:val="24"/>
              </w:rPr>
            </w:pPr>
          </w:p>
        </w:tc>
        <w:tc>
          <w:tcPr>
            <w:tcW w:w="9822" w:type="dxa"/>
            <w:gridSpan w:val="3"/>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 xml:space="preserve">Proiectul Hotărârii Guvernului cu privire la acordul </w:t>
            </w:r>
            <w:r w:rsidR="00F112C0" w:rsidRPr="0012063A">
              <w:rPr>
                <w:rFonts w:ascii="Times New Roman" w:eastAsia="Times New Roman" w:hAnsi="Times New Roman" w:cs="Times New Roman"/>
                <w:color w:val="000000"/>
                <w:sz w:val="24"/>
                <w:szCs w:val="24"/>
              </w:rPr>
              <w:t>schimbării destinației unor bunuri din propreitatea unităților administrativ-teritoriale</w:t>
            </w:r>
            <w:r w:rsidRPr="0012063A">
              <w:rPr>
                <w:rFonts w:ascii="Times New Roman" w:eastAsia="Times New Roman" w:hAnsi="Times New Roman" w:cs="Times New Roman"/>
                <w:i/>
                <w:color w:val="000000"/>
                <w:sz w:val="24"/>
                <w:szCs w:val="24"/>
              </w:rPr>
              <w:t xml:space="preserve"> </w:t>
            </w:r>
            <w:r w:rsidRPr="0012063A">
              <w:rPr>
                <w:rFonts w:ascii="Times New Roman" w:eastAsia="Times New Roman" w:hAnsi="Times New Roman" w:cs="Times New Roman"/>
                <w:color w:val="000000"/>
                <w:sz w:val="24"/>
                <w:szCs w:val="24"/>
              </w:rPr>
              <w:t xml:space="preserve">a fost elaborat de către Ministerul Educației și Cercetării, în baza deciziilor pozitive ale Comisiei de avizare a raportului de expertiză din </w:t>
            </w:r>
            <w:r w:rsidR="00AF4259" w:rsidRPr="0012063A">
              <w:rPr>
                <w:rFonts w:ascii="Times New Roman" w:eastAsia="Times New Roman" w:hAnsi="Times New Roman" w:cs="Times New Roman"/>
                <w:color w:val="000000"/>
                <w:sz w:val="24"/>
                <w:szCs w:val="24"/>
              </w:rPr>
              <w:t>27 octombrie 2023 și 31 octombrie 202</w:t>
            </w:r>
            <w:r w:rsidR="00F667A0" w:rsidRPr="0012063A">
              <w:rPr>
                <w:rFonts w:ascii="Times New Roman" w:eastAsia="Times New Roman" w:hAnsi="Times New Roman" w:cs="Times New Roman"/>
                <w:color w:val="000000"/>
                <w:sz w:val="24"/>
                <w:szCs w:val="24"/>
              </w:rPr>
              <w:t>3.</w:t>
            </w:r>
          </w:p>
        </w:tc>
      </w:tr>
      <w:tr w:rsidR="008E1210" w:rsidRPr="0012063A" w:rsidTr="002826B2">
        <w:trPr>
          <w:gridAfter w:val="2"/>
          <w:wAfter w:w="135" w:type="dxa"/>
        </w:trPr>
        <w:tc>
          <w:tcPr>
            <w:tcW w:w="236" w:type="dxa"/>
          </w:tcPr>
          <w:p w:rsidR="008E1210" w:rsidRPr="0012063A" w:rsidRDefault="008E1210" w:rsidP="003C3667">
            <w:pPr>
              <w:widowControl w:val="0"/>
              <w:pBdr>
                <w:top w:val="nil"/>
                <w:left w:val="nil"/>
                <w:bottom w:val="nil"/>
                <w:right w:val="nil"/>
                <w:between w:val="nil"/>
              </w:pBdr>
              <w:spacing w:after="0" w:line="276" w:lineRule="auto"/>
              <w:ind w:left="264" w:right="116"/>
              <w:rPr>
                <w:rFonts w:ascii="Times New Roman" w:eastAsia="Times New Roman" w:hAnsi="Times New Roman" w:cs="Times New Roman"/>
                <w:color w:val="000000"/>
                <w:sz w:val="24"/>
                <w:szCs w:val="24"/>
              </w:rPr>
            </w:pPr>
          </w:p>
        </w:tc>
        <w:tc>
          <w:tcPr>
            <w:tcW w:w="9687" w:type="dxa"/>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2. Condiţiile ce au impus elaborarea proiectului de act no</w:t>
            </w:r>
            <w:r w:rsidR="00472483" w:rsidRPr="0012063A">
              <w:rPr>
                <w:rFonts w:ascii="Times New Roman" w:eastAsia="Times New Roman" w:hAnsi="Times New Roman" w:cs="Times New Roman"/>
                <w:b/>
                <w:color w:val="000000"/>
                <w:sz w:val="24"/>
                <w:szCs w:val="24"/>
              </w:rPr>
              <w:t>rmativ şi finalităţile urmărite</w:t>
            </w:r>
          </w:p>
        </w:tc>
      </w:tr>
      <w:tr w:rsidR="008E1210" w:rsidRPr="0012063A" w:rsidTr="002826B2">
        <w:trPr>
          <w:gridAfter w:val="2"/>
          <w:wAfter w:w="135" w:type="dxa"/>
        </w:trPr>
        <w:tc>
          <w:tcPr>
            <w:tcW w:w="236" w:type="dxa"/>
          </w:tcPr>
          <w:p w:rsidR="008E1210" w:rsidRPr="0012063A" w:rsidRDefault="008E1210" w:rsidP="003C3667">
            <w:pPr>
              <w:widowControl w:val="0"/>
              <w:pBdr>
                <w:top w:val="nil"/>
                <w:left w:val="nil"/>
                <w:bottom w:val="nil"/>
                <w:right w:val="nil"/>
                <w:between w:val="nil"/>
              </w:pBdr>
              <w:spacing w:after="0" w:line="276" w:lineRule="auto"/>
              <w:ind w:left="264" w:right="116"/>
              <w:rPr>
                <w:rFonts w:ascii="Times New Roman" w:eastAsia="Times New Roman" w:hAnsi="Times New Roman" w:cs="Times New Roman"/>
                <w:b/>
                <w:color w:val="000000"/>
                <w:sz w:val="24"/>
                <w:szCs w:val="24"/>
              </w:rPr>
            </w:pPr>
          </w:p>
        </w:tc>
        <w:tc>
          <w:tcPr>
            <w:tcW w:w="9687" w:type="dxa"/>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Articolul 146 alin.(4) al Codului educaţiei nr.152/2014, prevede că „</w:t>
            </w:r>
            <w:r w:rsidR="00472483" w:rsidRPr="0012063A">
              <w:rPr>
                <w:rFonts w:ascii="Times New Roman" w:hAnsi="Times New Roman" w:cs="Times New Roman"/>
                <w:i/>
                <w:color w:val="333333"/>
                <w:sz w:val="24"/>
                <w:szCs w:val="24"/>
                <w:shd w:val="clear" w:color="auto" w:fill="FFFFFF"/>
              </w:rPr>
              <w:t>Transferul (trecerea) bunurilor imobile destinate educației din domeniul public al unității administrativ-teritoriale în domeniul privat al unității administrativ-teritoriale sau schimbarea destinației acestora se realizează prin decizii ale consiliului satului (comunei), orașului, raionului, municipiului, Adunării Populare a Găgăuziei, cu acordul prealabil al Guvernului. Transferul bunurilor imobile destinate educației din domeniul public al statului în domeniul privat al statului sau schimbarea destinației acestora se realizează prin hotărâre a Guvernului. Adoptarea hotărârii/deciziei respective este precedată de realizarea unui raport de expertiză prin care se demonstrează încetarea necesității de utilizare a bunurilor conform destinației acestora. Metodologia de realizare a raportului de expertiză se aprobă de Guvern</w:t>
            </w:r>
            <w:r w:rsidRPr="0012063A">
              <w:rPr>
                <w:rFonts w:ascii="Times New Roman" w:eastAsia="Times New Roman" w:hAnsi="Times New Roman" w:cs="Times New Roman"/>
                <w:color w:val="000000"/>
                <w:sz w:val="24"/>
                <w:szCs w:val="24"/>
              </w:rPr>
              <w:t>”.</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i/>
                <w:color w:val="000000"/>
                <w:sz w:val="24"/>
                <w:szCs w:val="24"/>
              </w:rPr>
            </w:pPr>
            <w:r w:rsidRPr="0012063A">
              <w:rPr>
                <w:rFonts w:ascii="Times New Roman" w:eastAsia="Times New Roman" w:hAnsi="Times New Roman" w:cs="Times New Roman"/>
                <w:color w:val="000000"/>
                <w:sz w:val="24"/>
                <w:szCs w:val="24"/>
              </w:rPr>
              <w:t xml:space="preserve">În conformitate cu Hotărârea Guvernului nr.314/2018 a fost aprobată </w:t>
            </w:r>
            <w:r w:rsidRPr="0012063A">
              <w:rPr>
                <w:rFonts w:ascii="Times New Roman" w:eastAsia="Times New Roman" w:hAnsi="Times New Roman" w:cs="Times New Roman"/>
                <w:i/>
                <w:color w:val="000000"/>
                <w:sz w:val="24"/>
                <w:szCs w:val="24"/>
              </w:rPr>
              <w:t xml:space="preserve">Metodologia de realizare a raportului de expertiză privind încetarea necesității menținerii în domeniul public a unor bunuri imobile destinate domeniului educației </w:t>
            </w:r>
            <w:r w:rsidRPr="0012063A">
              <w:rPr>
                <w:rFonts w:ascii="Times New Roman" w:eastAsia="Times New Roman" w:hAnsi="Times New Roman" w:cs="Times New Roman"/>
                <w:color w:val="000000"/>
                <w:sz w:val="24"/>
                <w:szCs w:val="24"/>
              </w:rPr>
              <w:t>(în continuare Metodologia)</w:t>
            </w:r>
            <w:r w:rsidRPr="0012063A">
              <w:rPr>
                <w:rFonts w:ascii="Times New Roman" w:eastAsia="Times New Roman" w:hAnsi="Times New Roman" w:cs="Times New Roman"/>
                <w:i/>
                <w:color w:val="000000"/>
                <w:sz w:val="24"/>
                <w:szCs w:val="24"/>
              </w:rPr>
              <w:t>.</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Potrivit pct. 17 din Metodologie „</w:t>
            </w:r>
            <w:r w:rsidRPr="0012063A">
              <w:rPr>
                <w:rFonts w:ascii="Times New Roman" w:eastAsia="Times New Roman" w:hAnsi="Times New Roman" w:cs="Times New Roman"/>
                <w:i/>
                <w:color w:val="000000"/>
                <w:sz w:val="24"/>
                <w:szCs w:val="24"/>
              </w:rPr>
              <w:t>Comisia examinează raportul de expertiză sub aspectul plenitudinii şi corectitudinii informației prezentate de fondator. În acest sens, comisia are dreptul să solicite informații de la orice instituție sau autoritate publică în scopul verificării corectitudinii datelor indicate în raportul de expertiză</w:t>
            </w:r>
            <w:r w:rsidRPr="0012063A">
              <w:rPr>
                <w:rFonts w:ascii="Times New Roman" w:eastAsia="Times New Roman" w:hAnsi="Times New Roman" w:cs="Times New Roman"/>
                <w:color w:val="000000"/>
                <w:sz w:val="24"/>
                <w:szCs w:val="24"/>
              </w:rPr>
              <w:t>”.</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i/>
                <w:color w:val="000000"/>
                <w:sz w:val="24"/>
                <w:szCs w:val="24"/>
              </w:rPr>
            </w:pPr>
            <w:r w:rsidRPr="0012063A">
              <w:rPr>
                <w:rFonts w:ascii="Times New Roman" w:eastAsia="Times New Roman" w:hAnsi="Times New Roman" w:cs="Times New Roman"/>
                <w:color w:val="000000"/>
                <w:sz w:val="24"/>
                <w:szCs w:val="24"/>
              </w:rPr>
              <w:t>În corespundere cu pct.19 din Metodologie „</w:t>
            </w:r>
            <w:r w:rsidRPr="0012063A">
              <w:rPr>
                <w:rFonts w:ascii="Times New Roman" w:eastAsia="Times New Roman" w:hAnsi="Times New Roman" w:cs="Times New Roman"/>
                <w:i/>
                <w:color w:val="000000"/>
                <w:sz w:val="24"/>
                <w:szCs w:val="24"/>
              </w:rPr>
              <w:t>raportul de expertiză este avizat negativ în cazurile în care: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i/>
                <w:color w:val="000000"/>
                <w:sz w:val="24"/>
                <w:szCs w:val="24"/>
              </w:rPr>
            </w:pPr>
            <w:r w:rsidRPr="0012063A">
              <w:rPr>
                <w:rFonts w:ascii="Times New Roman" w:eastAsia="Times New Roman" w:hAnsi="Times New Roman" w:cs="Times New Roman"/>
                <w:i/>
                <w:color w:val="000000"/>
                <w:sz w:val="24"/>
                <w:szCs w:val="24"/>
              </w:rPr>
              <w:t>1) în urma verificării s-a constatat că raportul de expertiză conține informații eronate;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i/>
                <w:color w:val="000000"/>
                <w:sz w:val="24"/>
                <w:szCs w:val="24"/>
              </w:rPr>
              <w:t>2) bunul expertizat constituie clădiri destinate instruirii ce s-au aflat în gestiunea unei instituții de învățământ de tip unic în localitatea respectivă (grădiniță, școală primară, gimnaziu, liceu, școală sportivă, școală muzicală), care au fost lichidate cu mai puțin de 5 ani în urmă, iar conform datelor demografice, în următorii 7 ani numărul de beneficiari din localitatea respectivă ar putea îndeplini minimul prevăzut de lege pentru existența instituției</w:t>
            </w:r>
            <w:r w:rsidRPr="0012063A">
              <w:rPr>
                <w:rFonts w:ascii="Times New Roman" w:eastAsia="Times New Roman" w:hAnsi="Times New Roman" w:cs="Times New Roman"/>
                <w:color w:val="000000"/>
                <w:sz w:val="24"/>
                <w:szCs w:val="24"/>
              </w:rPr>
              <w:t>”.</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De altfel, dacă nu sunt întrunite condițiile de emitere a unui aviz negativ, Comisia de avizare a rapoartelor de expertiză urmează să avizeze pozitiv raportul de expertiză înaintat spre examinare.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Menționăm că, în rapoartele avizate nu s-au constatat informații eronate.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Totodată, Comisia de avizare a constatat că rapoartele examinate satisfac condițiile de plenitudine și corectitudine cerute de pct.17 al Metodologiei nominalizate supra.</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 xml:space="preserve">I Privind lipsa necesității </w:t>
            </w:r>
            <w:r w:rsidR="00563489" w:rsidRPr="0012063A">
              <w:rPr>
                <w:rFonts w:ascii="Times New Roman" w:hAnsi="Times New Roman" w:cs="Times New Roman"/>
                <w:b/>
                <w:sz w:val="24"/>
                <w:szCs w:val="24"/>
              </w:rPr>
              <w:t>menținerii în domeniul educațional a construcției cu nr. cadastral 6475000079.01 (fosta grădiniță nr.2), amplasată în -nul Orhei, com. Vatici, s. Vatici</w:t>
            </w:r>
            <w:r w:rsidRPr="0012063A">
              <w:rPr>
                <w:rFonts w:ascii="Times New Roman" w:eastAsia="Times New Roman" w:hAnsi="Times New Roman" w:cs="Times New Roman"/>
                <w:b/>
                <w:color w:val="000000"/>
                <w:sz w:val="24"/>
                <w:szCs w:val="24"/>
              </w:rPr>
              <w:t xml:space="preserve"> </w:t>
            </w:r>
          </w:p>
          <w:p w:rsidR="00563489" w:rsidRPr="0012063A" w:rsidRDefault="00563489"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Prin Demersul nr.12 din 03 februarie 2023, Primarul co</w:t>
            </w:r>
            <w:r w:rsidR="00486B68" w:rsidRPr="0012063A">
              <w:rPr>
                <w:rFonts w:ascii="Times New Roman" w:hAnsi="Times New Roman" w:cs="Times New Roman"/>
                <w:sz w:val="24"/>
                <w:szCs w:val="24"/>
              </w:rPr>
              <w:t>m</w:t>
            </w:r>
            <w:r w:rsidRPr="0012063A">
              <w:rPr>
                <w:rFonts w:ascii="Times New Roman" w:hAnsi="Times New Roman" w:cs="Times New Roman"/>
                <w:sz w:val="24"/>
                <w:szCs w:val="24"/>
              </w:rPr>
              <w:t>. Vatici a solicitat Ministerului Educației și Cercetării examinarea Raportu</w:t>
            </w:r>
            <w:r w:rsidR="00486B68" w:rsidRPr="0012063A">
              <w:rPr>
                <w:rFonts w:ascii="Times New Roman" w:hAnsi="Times New Roman" w:cs="Times New Roman"/>
                <w:sz w:val="24"/>
                <w:szCs w:val="24"/>
              </w:rPr>
              <w:t xml:space="preserve">lui de expertiză a fostei </w:t>
            </w:r>
            <w:r w:rsidRPr="0012063A">
              <w:rPr>
                <w:rFonts w:ascii="Times New Roman" w:hAnsi="Times New Roman" w:cs="Times New Roman"/>
                <w:sz w:val="24"/>
                <w:szCs w:val="24"/>
              </w:rPr>
              <w:t>grădinițe nr.2 din r-nul Orhei, com. Vatici, s. Vatici.</w:t>
            </w:r>
          </w:p>
          <w:p w:rsidR="00563489" w:rsidRPr="0012063A" w:rsidRDefault="00563489"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Prin Decizia Consiliului comunal Vatici nr.7/14 din 10 decembrie 2022 s-a instituit grupul de expertiză și s-a dispus inițierea procedurii de modificare a modului de folosință a bunului imobil cu nr. cadastral 6475000079.01.</w:t>
            </w:r>
          </w:p>
          <w:p w:rsidR="0052246F" w:rsidRPr="0012063A" w:rsidRDefault="005224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lastRenderedPageBreak/>
              <w:t>Potrivit informațiilor din baza de date electronică a Departamentului cadastru, din cadrul Agenției Servicii Publice, construcția cu nr. cadastral 6475000079.01, constituie proprietate a comunei Vatici, r-nul Orhei și este amplasată pe terenul cu nr. cadastral 6475000079 din r-nul Orhei, com. Vatici, s. Vatici.</w:t>
            </w:r>
          </w:p>
          <w:p w:rsidR="0052246F" w:rsidRPr="0012063A" w:rsidRDefault="005224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În conformitate cu Raportul de expertiză, construcția cu nr. cadastral 6475000079.01 a fost edificată în anul 1978 și a fost folosită în calitate de locuință pentru tinerii specialiști.</w:t>
            </w:r>
          </w:p>
          <w:p w:rsidR="0052246F" w:rsidRPr="0012063A" w:rsidRDefault="005224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Din 1982 până în 1984 construcția a fost folosită de către Spitalul Psihiatric nr.2 din com. Vatici, s. Curchi. Din 1984 până în 1985 construcția a fost folosită în calitate de locuință pentru tinerii specialiști.</w:t>
            </w:r>
          </w:p>
          <w:p w:rsidR="0052246F" w:rsidRPr="0012063A" w:rsidRDefault="005224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Din anul 1985, construcția a fost adaptată la cerințele unei instituții de educație timpurie (grădiniță). În anul 1992 Grădinița și-a sistat activitatea. În anul 1998 construcția cu nr. cadastral 6475000079.01 a fost dată în folosință în calitate de spațiu locativ pe o perioadă nedeterminată unui locuitor al s. Vatici, care folosește construcția până în prezent.</w:t>
            </w:r>
          </w:p>
          <w:p w:rsidR="0052246F" w:rsidRPr="0012063A" w:rsidRDefault="005224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 xml:space="preserve">Potrivit informațiilor prezentate de Primarul com. Vatici, r-nul Orhei, în r-nul Orhei, com. Vatici activează 2 grădinițe: </w:t>
            </w:r>
          </w:p>
          <w:p w:rsidR="0052246F" w:rsidRPr="0012063A" w:rsidRDefault="005224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 Grădinița-creșă de copii nr.1 „Făgurașul” din r-nul Orhei, com. Vatici, s. Vatici (nr. cadastral 6475000078) ș</w:t>
            </w:r>
            <w:r w:rsidR="002557C3" w:rsidRPr="0012063A">
              <w:rPr>
                <w:rFonts w:ascii="Times New Roman" w:hAnsi="Times New Roman" w:cs="Times New Roman"/>
                <w:sz w:val="24"/>
                <w:szCs w:val="24"/>
              </w:rPr>
              <w:t>i</w:t>
            </w:r>
          </w:p>
          <w:p w:rsidR="0052246F" w:rsidRPr="0012063A" w:rsidRDefault="005224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 xml:space="preserve"> - Grădinița de copii „Alunelul” din r-nul Orhei, com. Vatici, s. Tabăra (6475103098).</w:t>
            </w:r>
          </w:p>
          <w:p w:rsidR="00563489" w:rsidRPr="0012063A" w:rsidRDefault="00563489" w:rsidP="003C3667">
            <w:pPr>
              <w:pBdr>
                <w:top w:val="nil"/>
                <w:left w:val="nil"/>
                <w:bottom w:val="nil"/>
                <w:right w:val="nil"/>
                <w:between w:val="nil"/>
              </w:pBdr>
              <w:spacing w:after="0" w:line="240" w:lineRule="auto"/>
              <w:ind w:left="264" w:right="116"/>
              <w:jc w:val="both"/>
              <w:rPr>
                <w:rFonts w:ascii="Times New Roman" w:eastAsia="Times New Roman" w:hAnsi="Times New Roman" w:cs="Times New Roman"/>
                <w:b/>
                <w:color w:val="000000"/>
                <w:sz w:val="24"/>
                <w:szCs w:val="24"/>
              </w:rPr>
            </w:pP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 xml:space="preserve">II </w:t>
            </w:r>
            <w:r w:rsidR="00776C0E" w:rsidRPr="0012063A">
              <w:rPr>
                <w:rFonts w:ascii="Times New Roman" w:hAnsi="Times New Roman" w:cs="Times New Roman"/>
                <w:b/>
                <w:sz w:val="24"/>
                <w:szCs w:val="24"/>
              </w:rPr>
              <w:t xml:space="preserve">privind lipsa necesității de menținere în domeniul educațional a </w:t>
            </w:r>
            <w:r w:rsidR="004B3A79" w:rsidRPr="0012063A">
              <w:rPr>
                <w:rFonts w:ascii="Times New Roman" w:hAnsi="Times New Roman" w:cs="Times New Roman"/>
                <w:b/>
                <w:sz w:val="24"/>
                <w:szCs w:val="24"/>
              </w:rPr>
              <w:t xml:space="preserve">construcțiilor cu nr. cadastrale </w:t>
            </w:r>
            <w:r w:rsidR="00776C0E" w:rsidRPr="0012063A">
              <w:rPr>
                <w:rFonts w:ascii="Times New Roman" w:hAnsi="Times New Roman" w:cs="Times New Roman"/>
                <w:b/>
                <w:sz w:val="24"/>
                <w:szCs w:val="24"/>
              </w:rPr>
              <w:t>2541</w:t>
            </w:r>
            <w:r w:rsidR="00FD7987" w:rsidRPr="0012063A">
              <w:rPr>
                <w:rFonts w:ascii="Times New Roman" w:hAnsi="Times New Roman" w:cs="Times New Roman"/>
                <w:b/>
                <w:sz w:val="24"/>
                <w:szCs w:val="24"/>
              </w:rPr>
              <w:t xml:space="preserve">210128.01 și nr. 2541210128.02 </w:t>
            </w:r>
            <w:r w:rsidR="00776C0E" w:rsidRPr="0012063A">
              <w:rPr>
                <w:rFonts w:ascii="Times New Roman" w:hAnsi="Times New Roman" w:cs="Times New Roman"/>
                <w:b/>
                <w:sz w:val="24"/>
                <w:szCs w:val="24"/>
              </w:rPr>
              <w:t>(fosta grădiniță de copii) din r-nul Călărași, com. Sipoteni</w:t>
            </w:r>
          </w:p>
          <w:p w:rsidR="00A65518" w:rsidRPr="0012063A" w:rsidRDefault="00A65518"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Prin Demersul nr.253 din 26 septembrie 2023, Primarul com. Sipoteni, r-nul Călărași a solicitat de la Ministerul Educației și Cercetării examinarea Raportului de expertiză a bunurilor imobile cu nr. cadastral</w:t>
            </w:r>
            <w:r w:rsidR="004B3A79" w:rsidRPr="0012063A">
              <w:rPr>
                <w:rFonts w:ascii="Times New Roman" w:hAnsi="Times New Roman" w:cs="Times New Roman"/>
                <w:sz w:val="24"/>
                <w:szCs w:val="24"/>
              </w:rPr>
              <w:t>e</w:t>
            </w:r>
            <w:r w:rsidRPr="0012063A">
              <w:rPr>
                <w:rFonts w:ascii="Times New Roman" w:hAnsi="Times New Roman" w:cs="Times New Roman"/>
                <w:sz w:val="24"/>
                <w:szCs w:val="24"/>
              </w:rPr>
              <w:t xml:space="preserve"> 2541210128.01 și nr. </w:t>
            </w:r>
            <w:r w:rsidRPr="0012063A">
              <w:rPr>
                <w:rFonts w:ascii="Times New Roman" w:hAnsi="Times New Roman" w:cs="Times New Roman"/>
                <w:color w:val="000000" w:themeColor="text1"/>
                <w:sz w:val="24"/>
                <w:szCs w:val="24"/>
              </w:rPr>
              <w:t>2541210128.02</w:t>
            </w:r>
            <w:r w:rsidRPr="0012063A">
              <w:rPr>
                <w:rFonts w:ascii="Times New Roman" w:hAnsi="Times New Roman" w:cs="Times New Roman"/>
                <w:sz w:val="24"/>
                <w:szCs w:val="24"/>
              </w:rPr>
              <w:t xml:space="preserve"> (grădinița de copii) din r-nul Călărași, com. Sipoteni.</w:t>
            </w:r>
          </w:p>
          <w:p w:rsidR="00A65518" w:rsidRPr="0012063A" w:rsidRDefault="00A65518"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Prin Decizia Consiliului comunal Sipoteni nr. 02/17 din 26 februarie 2021 s-a instituit grupul de expertiză și s-a dispus realizarea Raportului de expertiză în privința bunurilor supuse expertizării.</w:t>
            </w:r>
          </w:p>
          <w:p w:rsidR="00A65518" w:rsidRPr="0012063A" w:rsidRDefault="00A65518"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Potrivit reprezentării grafice din baza de date electronică a Departamentului cadastru, din cadrul Agenției Servicii Publice, pe terenul cu nr. cadastral 2541210128 sunt amplasate 2 construcții (2541210128.01 și 2541210128.02)</w:t>
            </w:r>
          </w:p>
          <w:p w:rsidR="00A65518" w:rsidRPr="0012063A" w:rsidRDefault="00A65518"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În Registrul bunurilor imobile este înscrisă doar construcția cu nr. cadastral 2541210128.01.</w:t>
            </w:r>
          </w:p>
          <w:p w:rsidR="00A65518" w:rsidRPr="0012063A" w:rsidRDefault="00A65518"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sz w:val="24"/>
                <w:szCs w:val="24"/>
              </w:rPr>
              <w:t xml:space="preserve">În conformitate cu Raportul de expertiză, construcțiile cu nr. cadastral 2541210128.01 și nr. 2541210128.02 nu sunt utilizate conform destinației din anul </w:t>
            </w:r>
            <w:r w:rsidRPr="0012063A">
              <w:rPr>
                <w:rFonts w:ascii="Times New Roman" w:hAnsi="Times New Roman" w:cs="Times New Roman"/>
                <w:color w:val="000000" w:themeColor="text1"/>
                <w:sz w:val="24"/>
                <w:szCs w:val="24"/>
              </w:rPr>
              <w:t>2017, odată cu lichidarea Grădiniței de copii din com. Sipoteni.</w:t>
            </w:r>
          </w:p>
          <w:p w:rsidR="00A65518" w:rsidRPr="0012063A" w:rsidRDefault="00A65518"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Conform informațiilor prezentate la 10 octombrie 2023 de Primăria com. Sipoteni, r-nul Călărași, instituția preșcolară ,,Prichindel”</w:t>
            </w:r>
            <w:r w:rsidRPr="0012063A">
              <w:rPr>
                <w:rFonts w:ascii="Times New Roman" w:hAnsi="Times New Roman" w:cs="Times New Roman"/>
                <w:color w:val="000000" w:themeColor="text1"/>
                <w:sz w:val="24"/>
                <w:szCs w:val="24"/>
                <w:lang w:val="ro-RO"/>
              </w:rPr>
              <w:t xml:space="preserve">, situată în com. Sipoteni, str. Andrieș, r-nul Călărași, amplasată pe terenul cu numărul cadastral 2541210139.01 </w:t>
            </w:r>
            <w:r w:rsidRPr="0012063A">
              <w:rPr>
                <w:rFonts w:ascii="Times New Roman" w:hAnsi="Times New Roman" w:cs="Times New Roman"/>
                <w:color w:val="000000" w:themeColor="text1"/>
                <w:sz w:val="24"/>
                <w:szCs w:val="24"/>
              </w:rPr>
              <w:t>are capacitatea de 320 de locuri și 14 grupe. La moment în instituție sunt încadrați 140 de copii integrați în 8 grupe, din cei 140 de copii, care frecventează grădinița: 134 copii sunt din satul Sipoteni, iar 6 copii din satul Tochilia.</w:t>
            </w:r>
          </w:p>
          <w:p w:rsidR="00A65518" w:rsidRPr="0012063A" w:rsidRDefault="00A65518"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Conform raportului de expertiză tehnică nr. 20/13.05.2023 realizat de către Dl Lupușor Nicolae, expert tehnic (certificat nr.080 seria 2022-ET, eliberat la data de 30.11.2022, valabil până la data de 30.11.2027) și Cebotari Victor, expert tehnic (certificat nr. 083 seria 2022-ET, eliberat la data de 30.11.2022, valabil până la data de 30.11.2027):</w:t>
            </w:r>
          </w:p>
          <w:p w:rsidR="00A65518" w:rsidRPr="0012063A" w:rsidRDefault="00A65518" w:rsidP="003C3667">
            <w:pPr>
              <w:pStyle w:val="a3"/>
              <w:numPr>
                <w:ilvl w:val="0"/>
                <w:numId w:val="1"/>
              </w:numPr>
              <w:ind w:left="264" w:right="116" w:firstLine="567"/>
              <w:jc w:val="both"/>
              <w:rPr>
                <w:color w:val="000000" w:themeColor="text1"/>
                <w:szCs w:val="24"/>
                <w:lang w:val="ro-MD"/>
              </w:rPr>
            </w:pPr>
            <w:r w:rsidRPr="0012063A">
              <w:rPr>
                <w:color w:val="000000" w:themeColor="text1"/>
                <w:szCs w:val="24"/>
                <w:lang w:val="ro-MD"/>
              </w:rPr>
              <w:t>construcția cu nr. cadastral 2541210128.01 a fost construită în a doua jumătate a sec. XX.</w:t>
            </w:r>
          </w:p>
          <w:p w:rsidR="00A65518" w:rsidRPr="0012063A" w:rsidRDefault="00A65518" w:rsidP="003C3667">
            <w:pPr>
              <w:pStyle w:val="a3"/>
              <w:numPr>
                <w:ilvl w:val="0"/>
                <w:numId w:val="1"/>
              </w:numPr>
              <w:ind w:left="264" w:right="116" w:firstLine="567"/>
              <w:jc w:val="both"/>
              <w:rPr>
                <w:color w:val="000000" w:themeColor="text1"/>
                <w:szCs w:val="24"/>
                <w:lang w:val="ro-MD"/>
              </w:rPr>
            </w:pPr>
            <w:r w:rsidRPr="0012063A">
              <w:rPr>
                <w:color w:val="000000" w:themeColor="text1"/>
                <w:szCs w:val="24"/>
                <w:lang w:val="ro-MD"/>
              </w:rPr>
              <w:t xml:space="preserve">construcția cu nr. cadastral 2541210128.02 a fost construită în a doua jumătate a sec. XX. </w:t>
            </w:r>
          </w:p>
          <w:p w:rsidR="00A65518" w:rsidRPr="0012063A" w:rsidRDefault="00A65518"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Pentru construcția expertizată, experții tehnici au concluzionat că starea tehnică a clădirilor examinate este nesatisfăcătoar</w:t>
            </w:r>
            <w:r w:rsidR="00FD7987" w:rsidRPr="0012063A">
              <w:rPr>
                <w:rFonts w:ascii="Times New Roman" w:hAnsi="Times New Roman" w:cs="Times New Roman"/>
                <w:color w:val="000000" w:themeColor="text1"/>
                <w:sz w:val="24"/>
                <w:szCs w:val="24"/>
              </w:rPr>
              <w:t>e (stare avansată de degradare)</w:t>
            </w:r>
            <w:r w:rsidRPr="0012063A">
              <w:rPr>
                <w:rFonts w:ascii="Times New Roman" w:hAnsi="Times New Roman" w:cs="Times New Roman"/>
                <w:color w:val="000000" w:themeColor="text1"/>
                <w:sz w:val="24"/>
                <w:szCs w:val="24"/>
              </w:rPr>
              <w:t xml:space="preserve"> și duce spre ruinare. De </w:t>
            </w:r>
            <w:r w:rsidRPr="0012063A">
              <w:rPr>
                <w:rFonts w:ascii="Times New Roman" w:hAnsi="Times New Roman" w:cs="Times New Roman"/>
                <w:color w:val="000000" w:themeColor="text1"/>
                <w:sz w:val="24"/>
                <w:szCs w:val="24"/>
              </w:rPr>
              <w:lastRenderedPageBreak/>
              <w:t xml:space="preserve">asemenea, au recomandat să fie supusă demolării în totalitate, fiindcă prezintă pericol de prăbușire totală, iar reparația capitală nu este rezonabilă nici din punct de vedere economic. </w:t>
            </w:r>
          </w:p>
          <w:p w:rsidR="00A65518" w:rsidRPr="0012063A" w:rsidRDefault="00A65518"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Prin scrisoarea nr.01-9/345 din 10.10.2023, Direcția Învățământ Tineret și Sport Călărași nu a comunicat obiecții cu privire la excluderea din domeniul educației a construcțiilor expertizate, dar a indicat faptul că com. Sipoteni dispune de două grădinițe în care este suficient spațiu pentru serviciile de educație preșcolară. Conform proiectelor instituțiilor aceste două grădinițe dispun de 470 de locuri și de facto frecventeaz 252 de copii.</w:t>
            </w:r>
          </w:p>
          <w:p w:rsidR="00A65518" w:rsidRPr="0012063A" w:rsidRDefault="00A65518"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Conform datelor demografice, din com. Sipoteni, r-nul Călărași rata nou născuților pentru ultimii 5 ani este în descreștere și arată o medie de 46 copii pe an.</w:t>
            </w:r>
          </w:p>
          <w:p w:rsidR="008E696F"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 xml:space="preserve">III </w:t>
            </w:r>
            <w:r w:rsidR="008E696F" w:rsidRPr="0012063A">
              <w:rPr>
                <w:rFonts w:ascii="Times New Roman" w:hAnsi="Times New Roman" w:cs="Times New Roman"/>
                <w:b/>
                <w:sz w:val="24"/>
                <w:szCs w:val="24"/>
              </w:rPr>
              <w:t>Privind lipsa necesității menținerii în domeniul educațional a unei porțiuni de teren cu suprafața de 0,007 ha din terenul cu nr. cadastral 9201104001 (aferent Centrului educațional din Ungheni), amplasat în or. Ungheni, str. Romană, 35</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 xml:space="preserve">Prin Demersul nr.83-02/1-17 din 22 martie 2023, Vicepreședintele Raionului </w:t>
            </w:r>
            <w:r w:rsidR="006C0C1F" w:rsidRPr="0012063A">
              <w:rPr>
                <w:rFonts w:ascii="Times New Roman" w:hAnsi="Times New Roman" w:cs="Times New Roman"/>
                <w:sz w:val="24"/>
                <w:szCs w:val="24"/>
              </w:rPr>
              <w:t>Ungheni</w:t>
            </w:r>
            <w:r w:rsidRPr="0012063A">
              <w:rPr>
                <w:rFonts w:ascii="Times New Roman" w:hAnsi="Times New Roman" w:cs="Times New Roman"/>
                <w:sz w:val="24"/>
                <w:szCs w:val="24"/>
              </w:rPr>
              <w:t xml:space="preserve"> a solicitat Ministerului Educației și Cercetării examinarea Raportului de expertiză a unei porțiuni de teren cu suprafața de 0,007 ha din terenul cu nr. cadastral 9201104001 (aferent Cen</w:t>
            </w:r>
            <w:r w:rsidR="009358F1" w:rsidRPr="0012063A">
              <w:rPr>
                <w:rFonts w:ascii="Times New Roman" w:hAnsi="Times New Roman" w:cs="Times New Roman"/>
                <w:sz w:val="24"/>
                <w:szCs w:val="24"/>
              </w:rPr>
              <w:t>trului educațional din Ungheni)</w:t>
            </w:r>
            <w:r w:rsidRPr="0012063A">
              <w:rPr>
                <w:rFonts w:ascii="Times New Roman" w:hAnsi="Times New Roman" w:cs="Times New Roman"/>
                <w:sz w:val="24"/>
                <w:szCs w:val="24"/>
              </w:rPr>
              <w:t xml:space="preserve"> amplasat în or. Ungheni, str. Romană, 35.</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Prin Decizia Consiliului raional Ungheni nr.5/27 din 28 iulie 2022 s-a instituit grupul de expertiză și s-a dispus inițierea procedurii de realizare a raportului de expertiză pentru porțiunea de teren cu suprafața de 0,007 ha din terenul cu nr. cadastral 9201104001 (aferent Cen</w:t>
            </w:r>
            <w:r w:rsidR="009358F1" w:rsidRPr="0012063A">
              <w:rPr>
                <w:rFonts w:ascii="Times New Roman" w:hAnsi="Times New Roman" w:cs="Times New Roman"/>
                <w:sz w:val="24"/>
                <w:szCs w:val="24"/>
              </w:rPr>
              <w:t>trului educațional din Ungheni)</w:t>
            </w:r>
            <w:r w:rsidRPr="0012063A">
              <w:rPr>
                <w:rFonts w:ascii="Times New Roman" w:hAnsi="Times New Roman" w:cs="Times New Roman"/>
                <w:sz w:val="24"/>
                <w:szCs w:val="24"/>
              </w:rPr>
              <w:t xml:space="preserve"> amplasat în or. Ungheni, str. Romană, 35.</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Prin Decizia Consiliului raional Ungheni nr.2/30 din 09 martie 2023 s-a aprobat raportul de expertiză pentru porțiunea de teren cu suprafața de 0,007 ha din terenul cu nr. cadastral 9201104001 (aferent Cen</w:t>
            </w:r>
            <w:r w:rsidR="009358F1" w:rsidRPr="0012063A">
              <w:rPr>
                <w:rFonts w:ascii="Times New Roman" w:hAnsi="Times New Roman" w:cs="Times New Roman"/>
                <w:sz w:val="24"/>
                <w:szCs w:val="24"/>
              </w:rPr>
              <w:t>trului educațional din Ungheni)</w:t>
            </w:r>
            <w:r w:rsidRPr="0012063A">
              <w:rPr>
                <w:rFonts w:ascii="Times New Roman" w:hAnsi="Times New Roman" w:cs="Times New Roman"/>
                <w:sz w:val="24"/>
                <w:szCs w:val="24"/>
              </w:rPr>
              <w:t xml:space="preserve"> amplasat în or. Ungheni, str. Romană, 35.</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Prin scrisoarea nr. 01-30/324 din 21 iulie 2023, Direcția Educație Ungheni nu a comunicat obiecții la intenția Consiliului raional Ungheni de a scoate din domeniul educațional porțiunea de teren supusă expertizării are suprafața de 0,007 ha. La fel, nu au comunicat obiecții nici Centrul raional de Creație a Copiilor Ungheni, Școala Sportivă Raională Ungheni și Centrul Raional de Tineret Ungheni.</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 xml:space="preserve">Potrivit informațiilor din baza de date electronică a Departamentului cadastru, din cadrul Agenției Servicii Publice, terenul cu </w:t>
            </w:r>
            <w:r w:rsidR="009358F1" w:rsidRPr="0012063A">
              <w:rPr>
                <w:rFonts w:ascii="Times New Roman" w:hAnsi="Times New Roman" w:cs="Times New Roman"/>
                <w:sz w:val="24"/>
                <w:szCs w:val="24"/>
              </w:rPr>
              <w:t>nr. cadastral 9201104001</w:t>
            </w:r>
            <w:r w:rsidRPr="0012063A">
              <w:rPr>
                <w:rFonts w:ascii="Times New Roman" w:hAnsi="Times New Roman" w:cs="Times New Roman"/>
                <w:sz w:val="24"/>
                <w:szCs w:val="24"/>
              </w:rPr>
              <w:t xml:space="preserve"> constituie proprietate a Autorității Publice Raionale – </w:t>
            </w:r>
            <w:r w:rsidR="006C0C1F" w:rsidRPr="0012063A">
              <w:rPr>
                <w:rFonts w:ascii="Times New Roman" w:hAnsi="Times New Roman" w:cs="Times New Roman"/>
                <w:sz w:val="24"/>
                <w:szCs w:val="24"/>
              </w:rPr>
              <w:t>Ungheni</w:t>
            </w:r>
            <w:r w:rsidRPr="0012063A">
              <w:rPr>
                <w:rFonts w:ascii="Times New Roman" w:hAnsi="Times New Roman" w:cs="Times New Roman"/>
                <w:sz w:val="24"/>
                <w:szCs w:val="24"/>
              </w:rPr>
              <w:t>.</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Terenul cu nr. cadastral 9201104001 are suprafața totală de 2,2199 ha. Pe terenul cu nr. cadastral 9201104001 sunt amplasate construcțiile a 3 instituții (Centrul raional de creație al copiilor – 336 copii, Școala sportivă raională – 507 copii și Centrul raional de tineret – 220 tineri).</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Porțiunea de teren supusă expertizării are suprafața de 0,007 ha (conform reprezentării grafice din anexa nr. 9 a Raportului de expertiză).</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Potrivit raportului de expertiză, porțiunea de teren supusă expertizării este adiacentă terenului cu nr. cadastral 92</w:t>
            </w:r>
            <w:r w:rsidR="00EC642B" w:rsidRPr="0012063A">
              <w:rPr>
                <w:rFonts w:ascii="Times New Roman" w:hAnsi="Times New Roman" w:cs="Times New Roman"/>
                <w:sz w:val="24"/>
                <w:szCs w:val="24"/>
              </w:rPr>
              <w:t>01104866 (proprietate privată).</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Pe terenul cu nr. cadastral 9201104866 activează un Centru privat de prestări servicii. De asemenea, conform Raportului de expertiză se menționează că pe porțiunea de teren supusă expertizării se extind instalațiile inginerești (precum modul de evidență a gazelor, scări, aparate de aer condiționat) și streșina acoperișului construcției din adiacență (construcția de prestări servicii) de pe terenul cu nr. cadastral 9201104866.</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Aceste sarcini au condiționat, mai bine de 12 ani, lipsa posibilității Centrului raional Ungheni de a valorifica porțiunea de teren supusă expertizării conform destinației.</w:t>
            </w:r>
          </w:p>
          <w:p w:rsidR="008E696F" w:rsidRPr="0012063A" w:rsidRDefault="008E696F" w:rsidP="003C3667">
            <w:pPr>
              <w:spacing w:after="0" w:line="240" w:lineRule="auto"/>
              <w:ind w:left="264" w:right="116" w:firstLine="567"/>
              <w:jc w:val="both"/>
              <w:rPr>
                <w:rFonts w:ascii="Times New Roman" w:hAnsi="Times New Roman" w:cs="Times New Roman"/>
                <w:sz w:val="24"/>
                <w:szCs w:val="24"/>
              </w:rPr>
            </w:pPr>
            <w:r w:rsidRPr="0012063A">
              <w:rPr>
                <w:rFonts w:ascii="Times New Roman" w:hAnsi="Times New Roman" w:cs="Times New Roman"/>
                <w:sz w:val="24"/>
                <w:szCs w:val="24"/>
              </w:rPr>
              <w:t>Conform datelor demografice, rata nou născuț</w:t>
            </w:r>
            <w:r w:rsidR="009358F1" w:rsidRPr="0012063A">
              <w:rPr>
                <w:rFonts w:ascii="Times New Roman" w:hAnsi="Times New Roman" w:cs="Times New Roman"/>
                <w:sz w:val="24"/>
                <w:szCs w:val="24"/>
              </w:rPr>
              <w:t>ilor a arătat o descreștere în M</w:t>
            </w:r>
            <w:r w:rsidRPr="0012063A">
              <w:rPr>
                <w:rFonts w:ascii="Times New Roman" w:hAnsi="Times New Roman" w:cs="Times New Roman"/>
                <w:sz w:val="24"/>
                <w:szCs w:val="24"/>
              </w:rPr>
              <w:t>unicipiul Ungheni din 2016 (368 copii) până în 2021 (301 copii).</w:t>
            </w:r>
          </w:p>
          <w:p w:rsidR="008E1210" w:rsidRPr="0012063A" w:rsidRDefault="008E1210" w:rsidP="003C3667">
            <w:pPr>
              <w:spacing w:after="0" w:line="240" w:lineRule="auto"/>
              <w:ind w:left="264" w:right="116" w:firstLine="567"/>
              <w:jc w:val="both"/>
              <w:rPr>
                <w:rFonts w:ascii="Times New Roman" w:eastAsia="Times New Roman" w:hAnsi="Times New Roman" w:cs="Times New Roman"/>
                <w:b/>
                <w:sz w:val="24"/>
                <w:szCs w:val="24"/>
              </w:rPr>
            </w:pPr>
            <w:r w:rsidRPr="0012063A">
              <w:rPr>
                <w:rFonts w:ascii="Times New Roman" w:eastAsia="Times New Roman" w:hAnsi="Times New Roman" w:cs="Times New Roman"/>
                <w:b/>
                <w:color w:val="000000"/>
                <w:sz w:val="24"/>
                <w:szCs w:val="24"/>
              </w:rPr>
              <w:t>IV</w:t>
            </w:r>
            <w:r w:rsidRPr="0012063A">
              <w:rPr>
                <w:rFonts w:ascii="Times New Roman" w:eastAsia="Times New Roman" w:hAnsi="Times New Roman" w:cs="Times New Roman"/>
                <w:color w:val="000000"/>
                <w:sz w:val="24"/>
                <w:szCs w:val="24"/>
              </w:rPr>
              <w:t xml:space="preserve"> </w:t>
            </w:r>
            <w:r w:rsidR="00B558CA" w:rsidRPr="0012063A">
              <w:rPr>
                <w:rFonts w:ascii="Times New Roman" w:hAnsi="Times New Roman" w:cs="Times New Roman"/>
                <w:b/>
                <w:color w:val="000000" w:themeColor="text1"/>
                <w:sz w:val="24"/>
                <w:szCs w:val="24"/>
              </w:rPr>
              <w:t>Privind lipsa necesității de întrebuințare în domen</w:t>
            </w:r>
            <w:r w:rsidR="00DC0BC1" w:rsidRPr="0012063A">
              <w:rPr>
                <w:rFonts w:ascii="Times New Roman" w:hAnsi="Times New Roman" w:cs="Times New Roman"/>
                <w:b/>
                <w:color w:val="000000" w:themeColor="text1"/>
                <w:sz w:val="24"/>
                <w:szCs w:val="24"/>
              </w:rPr>
              <w:t>iul educațional a construcției</w:t>
            </w:r>
            <w:r w:rsidR="00B558CA" w:rsidRPr="0012063A">
              <w:rPr>
                <w:rFonts w:ascii="Times New Roman" w:hAnsi="Times New Roman" w:cs="Times New Roman"/>
                <w:b/>
                <w:color w:val="000000" w:themeColor="text1"/>
                <w:sz w:val="24"/>
                <w:szCs w:val="24"/>
              </w:rPr>
              <w:t xml:space="preserve"> cu</w:t>
            </w:r>
            <w:r w:rsidR="009A6BE2" w:rsidRPr="0012063A">
              <w:rPr>
                <w:rFonts w:ascii="Times New Roman" w:hAnsi="Times New Roman" w:cs="Times New Roman"/>
                <w:b/>
                <w:color w:val="000000" w:themeColor="text1"/>
                <w:sz w:val="24"/>
                <w:szCs w:val="24"/>
              </w:rPr>
              <w:t xml:space="preserve"> nr. cadastral 2522119.117.01 </w:t>
            </w:r>
            <w:r w:rsidR="00B558CA" w:rsidRPr="0012063A">
              <w:rPr>
                <w:rFonts w:ascii="Times New Roman" w:hAnsi="Times New Roman" w:cs="Times New Roman"/>
                <w:b/>
                <w:color w:val="000000" w:themeColor="text1"/>
                <w:sz w:val="24"/>
                <w:szCs w:val="24"/>
              </w:rPr>
              <w:t>(școala veche) din r-nul Călărași, com. Hîrjauca, s. Mîndra</w:t>
            </w:r>
            <w:r w:rsidRPr="0012063A">
              <w:rPr>
                <w:rFonts w:ascii="Times New Roman" w:eastAsia="Times New Roman" w:hAnsi="Times New Roman" w:cs="Times New Roman"/>
                <w:b/>
                <w:sz w:val="24"/>
                <w:szCs w:val="24"/>
              </w:rPr>
              <w:t>.</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lastRenderedPageBreak/>
              <w:t>Prin Demersul nr.27 din 29 m</w:t>
            </w:r>
            <w:r w:rsidR="00DC0BC1" w:rsidRPr="0012063A">
              <w:rPr>
                <w:rFonts w:ascii="Times New Roman" w:hAnsi="Times New Roman" w:cs="Times New Roman"/>
                <w:color w:val="000000" w:themeColor="text1"/>
                <w:sz w:val="24"/>
                <w:szCs w:val="24"/>
              </w:rPr>
              <w:t>ai 2023, Primarul com. Hîrjauca</w:t>
            </w:r>
            <w:r w:rsidRPr="0012063A">
              <w:rPr>
                <w:rFonts w:ascii="Times New Roman" w:hAnsi="Times New Roman" w:cs="Times New Roman"/>
                <w:color w:val="000000" w:themeColor="text1"/>
                <w:sz w:val="24"/>
                <w:szCs w:val="24"/>
              </w:rPr>
              <w:t>, r-nul Călărași a solicitat de la Ministerul Educației și Cercetării examinarea Raportului de expertiză a bunului imobil cu nr. cadastral 2522119.117.01 (școala veche) din r-nul Călărași, com. Hîrjauca, s. Mîndra.</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Prin Decizia Consiliului comunal Hîrjauca nr.6/4 din 15 noiembrie 2022 s-a instituit grupul de expertiză și s-a dispus realizarea Raportului de expertiză în privința bunurilor supuse expertizării.</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Potrivit informațiilor din baza de date electronică a Departamentului cadastru, din cadrul Agenției Servicii Publice, pe terenul cu nr. cadastral 2522119.117.01 este amplasată 1 construcție care constituie proprietatea Autorității Publ</w:t>
            </w:r>
            <w:r w:rsidR="00DC0BC1" w:rsidRPr="0012063A">
              <w:rPr>
                <w:rFonts w:ascii="Times New Roman" w:hAnsi="Times New Roman" w:cs="Times New Roman"/>
                <w:color w:val="000000" w:themeColor="text1"/>
                <w:sz w:val="24"/>
                <w:szCs w:val="24"/>
              </w:rPr>
              <w:t>ice Locale – comuna Hîrjauca</w:t>
            </w:r>
            <w:r w:rsidRPr="0012063A">
              <w:rPr>
                <w:rFonts w:ascii="Times New Roman" w:hAnsi="Times New Roman" w:cs="Times New Roman"/>
                <w:color w:val="000000" w:themeColor="text1"/>
                <w:sz w:val="24"/>
                <w:szCs w:val="24"/>
              </w:rPr>
              <w:t>, r-nul Călărași.</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În conformitate cu Raportul de expertiză, construcția cu nr. cadastral 2522119.117.01 nu este utilizată conform destinației din anul 2010, odată cu lichidarea Gimnaziului din s. Mîndra.</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 xml:space="preserve">Conform informațiilor prezentate de Gimnaziul com. Hîrjauca, r-nul Călărași. (17.08.2023), instituția are capacitatea de 464 de locuri și 12 săli de clasă. La moment în instituție sunt încadrați 217 elevi din 4 localități: </w:t>
            </w:r>
            <w:r w:rsidRPr="0012063A">
              <w:rPr>
                <w:rFonts w:ascii="Times New Roman" w:hAnsi="Times New Roman" w:cs="Times New Roman"/>
                <w:color w:val="000000" w:themeColor="text1"/>
                <w:sz w:val="24"/>
                <w:szCs w:val="24"/>
                <w:lang w:val="ro-RO"/>
              </w:rPr>
              <w:t>Leordoaia, Palanca, Hîrjauca și Mîndra. Numărul copiilor care frecventează instituția din fiecare localitate este următorul</w:t>
            </w:r>
            <w:r w:rsidRPr="0012063A">
              <w:rPr>
                <w:rFonts w:ascii="Times New Roman" w:hAnsi="Times New Roman" w:cs="Times New Roman"/>
                <w:color w:val="000000" w:themeColor="text1"/>
                <w:sz w:val="24"/>
                <w:szCs w:val="24"/>
              </w:rPr>
              <w:t>: Leordoaia- 34 elevi, Palanca- 78 elevi, Hîrjauca- 41 elevi, Mîndra- 64 elevi. Din numărul total de elevi care frecventează instituția 178 sunt sunt transportați zilnic la Gimnaziul de circumscripție din s. Hîrjăuca, com. Hîrjauca, r-nul Călărași cu ajutorul transportului pus la dispoziție de Direcția Educație Călărași (aproximativ 3 km de la s. Mîndra).</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Conform raportului de expertiză tehnică nr. 94 din 26 februarie 2021 (realizat de către Dl Iurie Dohmilă, expert tehnic (certificat nr.035 eliberat la 23 iunie 2020, valabil până la 25 iunie 2025), construcția cu nr. cadastral 2522119.117.01 a fost construită la mijlocul secolului XX;</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Pentru construcția expertizată, expertul tehnic a concluzionat că starea tehnică a clădirii este nesatisfăcătoare și nece</w:t>
            </w:r>
            <w:r w:rsidR="00DC0BC1" w:rsidRPr="0012063A">
              <w:rPr>
                <w:rFonts w:ascii="Times New Roman" w:hAnsi="Times New Roman" w:cs="Times New Roman"/>
                <w:color w:val="000000" w:themeColor="text1"/>
                <w:sz w:val="24"/>
                <w:szCs w:val="24"/>
              </w:rPr>
              <w:t>sită urgent reparație capitală.</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Prin scrisoarea nr.01-9/147 din 25 mai 2023, Direcția Educație Călărași nu a comunicat obiecții la excluderea din domeniul educației a construcției expertizate.</w:t>
            </w:r>
          </w:p>
          <w:p w:rsidR="00B558CA"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Prin scrisoarea nr.40 din 17 august 2023, Gimnaziul din s.Hîrjăuca, com. Hîrjăuca, r-nul Călărași nu a comunicat obiecții la excluderea din domeniul educației a construcției expertizate.</w:t>
            </w:r>
          </w:p>
          <w:p w:rsidR="008E1210" w:rsidRPr="0012063A" w:rsidRDefault="00B558CA" w:rsidP="003C3667">
            <w:pPr>
              <w:spacing w:after="0" w:line="240" w:lineRule="auto"/>
              <w:ind w:left="264" w:right="116" w:firstLine="567"/>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 xml:space="preserve">Conform datelor demografice, din </w:t>
            </w:r>
            <w:r w:rsidR="00E46684" w:rsidRPr="0012063A">
              <w:rPr>
                <w:rFonts w:ascii="Times New Roman" w:hAnsi="Times New Roman" w:cs="Times New Roman"/>
                <w:color w:val="000000" w:themeColor="text1"/>
                <w:sz w:val="24"/>
                <w:szCs w:val="24"/>
              </w:rPr>
              <w:t>s. Mîndra</w:t>
            </w:r>
            <w:r w:rsidRPr="0012063A">
              <w:rPr>
                <w:rFonts w:ascii="Times New Roman" w:hAnsi="Times New Roman" w:cs="Times New Roman"/>
                <w:color w:val="000000" w:themeColor="text1"/>
                <w:sz w:val="24"/>
                <w:szCs w:val="24"/>
              </w:rPr>
              <w:t>, com. Hîrjauca, r-nul Călărași rata nou născuților pentru ultimii 6 ani este în o ușoară descreștere (media 8 copii pe an).</w:t>
            </w:r>
          </w:p>
        </w:tc>
      </w:tr>
      <w:tr w:rsidR="008E1210" w:rsidRPr="0012063A" w:rsidTr="002826B2">
        <w:trPr>
          <w:gridAfter w:val="2"/>
          <w:wAfter w:w="135" w:type="dxa"/>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lastRenderedPageBreak/>
              <w:t>3. Descrierea gradului de compatibilitate pentru proiectele care au ca scop armonizarea legislaţiei naţionale cu legislaţia Uniunii Europene.</w:t>
            </w:r>
          </w:p>
        </w:tc>
      </w:tr>
      <w:tr w:rsidR="008E1210" w:rsidRPr="0012063A" w:rsidTr="002826B2">
        <w:trPr>
          <w:gridAfter w:val="2"/>
          <w:wAfter w:w="135" w:type="dxa"/>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Actul normativ nu conține norme privind armonizarea legislației naționale cu legislația Uniunii Europene.</w:t>
            </w:r>
          </w:p>
        </w:tc>
      </w:tr>
      <w:tr w:rsidR="008E1210" w:rsidRPr="0012063A" w:rsidTr="002826B2">
        <w:trPr>
          <w:gridAfter w:val="2"/>
          <w:wAfter w:w="135" w:type="dxa"/>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4. Principalele prevederi ale proiectului şi evidenţierea elementelor noi.</w:t>
            </w:r>
          </w:p>
        </w:tc>
      </w:tr>
      <w:tr w:rsidR="008E1210" w:rsidRPr="0012063A" w:rsidTr="002826B2">
        <w:trPr>
          <w:gridAfter w:val="2"/>
          <w:wAfter w:w="135" w:type="dxa"/>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 xml:space="preserve">Proiectul de hotărâre se referă la constatarea încetării necesităţii de a menţine în domeniul public a unor bunuri ale unităților administrativ-teritoriale. Astfel că, potrivit proiectului se acceptă </w:t>
            </w:r>
            <w:r w:rsidR="00D56DF0" w:rsidRPr="0012063A">
              <w:rPr>
                <w:rFonts w:ascii="Times New Roman" w:eastAsia="Times New Roman" w:hAnsi="Times New Roman" w:cs="Times New Roman"/>
                <w:color w:val="000000"/>
                <w:sz w:val="24"/>
                <w:szCs w:val="24"/>
              </w:rPr>
              <w:t>schimbarea destinației unor bunuri din proprietatea unităților administrativ-teritoriale</w:t>
            </w:r>
            <w:r w:rsidRPr="0012063A">
              <w:rPr>
                <w:rFonts w:ascii="Times New Roman" w:eastAsia="Times New Roman" w:hAnsi="Times New Roman" w:cs="Times New Roman"/>
                <w:color w:val="000000"/>
                <w:sz w:val="24"/>
                <w:szCs w:val="24"/>
              </w:rPr>
              <w:t>:</w:t>
            </w:r>
          </w:p>
          <w:p w:rsidR="00677433" w:rsidRPr="0012063A" w:rsidRDefault="00677433" w:rsidP="003C3667">
            <w:pPr>
              <w:spacing w:after="0" w:line="240" w:lineRule="auto"/>
              <w:ind w:left="264" w:right="116" w:firstLine="540"/>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 xml:space="preserve">1) com. Vatici, raionul Orhei – a construcției cu numărul cadastral </w:t>
            </w:r>
            <w:r w:rsidRPr="0012063A">
              <w:rPr>
                <w:rFonts w:ascii="Times New Roman" w:hAnsi="Times New Roman" w:cs="Times New Roman"/>
                <w:sz w:val="24"/>
                <w:szCs w:val="24"/>
              </w:rPr>
              <w:t>6475000079.01 (fosta grădiniță nr.2)</w:t>
            </w:r>
            <w:r w:rsidRPr="0012063A">
              <w:rPr>
                <w:rFonts w:ascii="Times New Roman" w:hAnsi="Times New Roman" w:cs="Times New Roman"/>
                <w:b/>
                <w:sz w:val="24"/>
                <w:szCs w:val="24"/>
              </w:rPr>
              <w:t xml:space="preserve"> </w:t>
            </w:r>
            <w:r w:rsidRPr="0012063A">
              <w:rPr>
                <w:rFonts w:ascii="Times New Roman" w:hAnsi="Times New Roman" w:cs="Times New Roman"/>
                <w:color w:val="000000" w:themeColor="text1"/>
                <w:sz w:val="24"/>
                <w:szCs w:val="24"/>
              </w:rPr>
              <w:t>din r-nul Orhei, com. Vatici, s. Vatici;</w:t>
            </w:r>
          </w:p>
          <w:p w:rsidR="00677433" w:rsidRPr="0012063A" w:rsidRDefault="00677433" w:rsidP="003C3667">
            <w:pPr>
              <w:spacing w:after="0" w:line="240" w:lineRule="auto"/>
              <w:ind w:left="264" w:right="116" w:firstLine="540"/>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 xml:space="preserve">2) com. Sipoteni, r-nul Călărași – a construcțiilor cu nr cadastral </w:t>
            </w:r>
            <w:r w:rsidRPr="0012063A">
              <w:rPr>
                <w:rFonts w:ascii="Times New Roman" w:hAnsi="Times New Roman" w:cs="Times New Roman"/>
                <w:sz w:val="24"/>
                <w:szCs w:val="24"/>
              </w:rPr>
              <w:t>25412101</w:t>
            </w:r>
            <w:r w:rsidR="002A6686" w:rsidRPr="0012063A">
              <w:rPr>
                <w:rFonts w:ascii="Times New Roman" w:hAnsi="Times New Roman" w:cs="Times New Roman"/>
                <w:sz w:val="24"/>
                <w:szCs w:val="24"/>
              </w:rPr>
              <w:t>28.01 și nr. 2541210128.02</w:t>
            </w:r>
            <w:r w:rsidRPr="0012063A">
              <w:rPr>
                <w:rFonts w:ascii="Times New Roman" w:hAnsi="Times New Roman" w:cs="Times New Roman"/>
                <w:sz w:val="24"/>
                <w:szCs w:val="24"/>
              </w:rPr>
              <w:t xml:space="preserve"> (fosta grădiniță de copii)</w:t>
            </w:r>
            <w:r w:rsidRPr="0012063A">
              <w:rPr>
                <w:rFonts w:ascii="Times New Roman" w:hAnsi="Times New Roman" w:cs="Times New Roman"/>
                <w:color w:val="000000" w:themeColor="text1"/>
                <w:sz w:val="24"/>
                <w:szCs w:val="24"/>
              </w:rPr>
              <w:t xml:space="preserve"> din r-nul Călărași, com. Sipoteni, s. Sipoteni;</w:t>
            </w:r>
          </w:p>
          <w:p w:rsidR="00677433" w:rsidRPr="0012063A" w:rsidRDefault="00677433" w:rsidP="003C3667">
            <w:pPr>
              <w:spacing w:after="0" w:line="240" w:lineRule="auto"/>
              <w:ind w:left="264" w:right="116" w:firstLine="540"/>
              <w:jc w:val="both"/>
              <w:rPr>
                <w:rFonts w:ascii="Times New Roman" w:hAnsi="Times New Roman" w:cs="Times New Roman"/>
                <w:color w:val="000000" w:themeColor="text1"/>
                <w:sz w:val="24"/>
                <w:szCs w:val="24"/>
              </w:rPr>
            </w:pPr>
            <w:r w:rsidRPr="0012063A">
              <w:rPr>
                <w:rFonts w:ascii="Times New Roman" w:hAnsi="Times New Roman" w:cs="Times New Roman"/>
                <w:color w:val="000000" w:themeColor="text1"/>
                <w:sz w:val="24"/>
                <w:szCs w:val="24"/>
              </w:rPr>
              <w:t>3) com. Hîrjauca, r-nul Călărași – a construcțiilor cu nr. cadastral 2522119.117.01 (școala veche) din r-nul Călărași, com. Hîrjauca, s. Mîndra;</w:t>
            </w:r>
          </w:p>
          <w:p w:rsidR="00677433" w:rsidRPr="0012063A" w:rsidRDefault="00677433" w:rsidP="003C3667">
            <w:pPr>
              <w:spacing w:after="0" w:line="240" w:lineRule="auto"/>
              <w:ind w:left="264" w:right="116" w:firstLine="540"/>
              <w:jc w:val="both"/>
              <w:rPr>
                <w:rFonts w:ascii="Times New Roman" w:hAnsi="Times New Roman" w:cs="Times New Roman"/>
                <w:sz w:val="24"/>
                <w:szCs w:val="24"/>
              </w:rPr>
            </w:pPr>
            <w:r w:rsidRPr="0012063A">
              <w:rPr>
                <w:rFonts w:ascii="Times New Roman" w:hAnsi="Times New Roman" w:cs="Times New Roman"/>
                <w:sz w:val="24"/>
                <w:szCs w:val="24"/>
              </w:rPr>
              <w:t>4) or. Ungheni, raionul Ungheni – a porțiunii de teren cu suprafața de 0,007 ha din terenul cu nr. cadastral 9201104001 (aferent Centrului educațional din Ungheni), din r-nul Ungheni, or. Ungheni, str. Romană, 35;</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Conform pct. 2 al proiectului, data intrării în vigoare a Hotărârii de Guvern se propune a fi data publicării acesteia. Intrarea în vigoare a Hotărârii de Guvern la data publicării este dictată de necesitatea întreprinderii în termeni restrânși a acțiunilor în vederea valorificării bunurilor expertizate.</w:t>
            </w:r>
          </w:p>
        </w:tc>
      </w:tr>
      <w:tr w:rsidR="008E1210" w:rsidRPr="0012063A" w:rsidTr="002826B2">
        <w:trPr>
          <w:gridAfter w:val="2"/>
          <w:wAfter w:w="135" w:type="dxa"/>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5. Fundamentarea economico-financiară.</w:t>
            </w:r>
          </w:p>
        </w:tc>
      </w:tr>
      <w:tr w:rsidR="008E1210" w:rsidRPr="0012063A" w:rsidTr="002826B2">
        <w:trPr>
          <w:gridAfter w:val="2"/>
          <w:wAfter w:w="135" w:type="dxa"/>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lastRenderedPageBreak/>
              <w:t>Implementarea prevederilor proiectului nu necesită cheltuieli financiare din bugetul de stat.</w:t>
            </w:r>
          </w:p>
        </w:tc>
      </w:tr>
      <w:tr w:rsidR="008E1210" w:rsidRPr="0012063A" w:rsidTr="002826B2">
        <w:trPr>
          <w:gridAfter w:val="2"/>
          <w:wAfter w:w="135" w:type="dxa"/>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6. Modul de încorporare a actului în cadrul normativ în vigoare.</w:t>
            </w:r>
          </w:p>
        </w:tc>
      </w:tr>
      <w:tr w:rsidR="008E1210" w:rsidRPr="0012063A" w:rsidTr="002826B2">
        <w:trPr>
          <w:gridAfter w:val="2"/>
          <w:wAfter w:w="135" w:type="dxa"/>
          <w:trHeight w:val="53"/>
        </w:trPr>
        <w:tc>
          <w:tcPr>
            <w:tcW w:w="9923" w:type="dxa"/>
            <w:gridSpan w:val="2"/>
            <w:tcBorders>
              <w:top w:val="nil"/>
              <w:left w:val="nil"/>
              <w:bottom w:val="nil"/>
              <w:right w:val="nil"/>
            </w:tcBorders>
            <w:tcMar>
              <w:top w:w="15" w:type="dxa"/>
              <w:left w:w="15" w:type="dxa"/>
              <w:bottom w:w="15" w:type="dxa"/>
              <w:right w:w="221" w:type="dxa"/>
            </w:tcMar>
          </w:tcPr>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 xml:space="preserve">Proiectul se încorporează în sistemul actelor normative și nu necesită modificarea cadrului normativ sau elaborarea unor acte normative noi. </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7. Avizarea și consultarea publică a proiectului.</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 xml:space="preserve">În scopul respectării prevederilor Legii nr.239/2008 privind transparența în procesul decizional, anunțul de inițiere a elaborării </w:t>
            </w:r>
            <w:r w:rsidR="005B712E" w:rsidRPr="0012063A">
              <w:rPr>
                <w:rFonts w:ascii="Times New Roman" w:eastAsia="Times New Roman" w:hAnsi="Times New Roman" w:cs="Times New Roman"/>
                <w:color w:val="000000"/>
                <w:sz w:val="24"/>
                <w:szCs w:val="24"/>
              </w:rPr>
              <w:t>proiectului Hotărârii de Guvern</w:t>
            </w:r>
            <w:r w:rsidRPr="0012063A">
              <w:rPr>
                <w:rFonts w:ascii="Times New Roman" w:eastAsia="Times New Roman" w:hAnsi="Times New Roman" w:cs="Times New Roman"/>
                <w:color w:val="000000"/>
                <w:sz w:val="24"/>
                <w:szCs w:val="24"/>
              </w:rPr>
              <w:t xml:space="preserve"> a fost plasat pe pagina web oficială a Ministerului Educației și Cercetării </w:t>
            </w:r>
            <w:hyperlink r:id="rId7">
              <w:r w:rsidRPr="0012063A">
                <w:rPr>
                  <w:rFonts w:ascii="Times New Roman" w:eastAsia="Times New Roman" w:hAnsi="Times New Roman" w:cs="Times New Roman"/>
                  <w:color w:val="0563C1"/>
                  <w:sz w:val="24"/>
                  <w:szCs w:val="24"/>
                  <w:u w:val="single"/>
                </w:rPr>
                <w:t>www.mec.gov.md</w:t>
              </w:r>
            </w:hyperlink>
            <w:r w:rsidRPr="0012063A">
              <w:rPr>
                <w:rFonts w:ascii="Times New Roman" w:eastAsia="Times New Roman" w:hAnsi="Times New Roman" w:cs="Times New Roman"/>
                <w:color w:val="0563C1"/>
                <w:sz w:val="24"/>
                <w:szCs w:val="24"/>
                <w:u w:val="single"/>
              </w:rPr>
              <w:t xml:space="preserve"> (https://mec.gov.md/ro/content/modul-de-participare)</w:t>
            </w:r>
            <w:r w:rsidRPr="0012063A">
              <w:rPr>
                <w:rFonts w:ascii="Times New Roman" w:eastAsia="Times New Roman" w:hAnsi="Times New Roman" w:cs="Times New Roman"/>
                <w:color w:val="000000"/>
                <w:sz w:val="24"/>
                <w:szCs w:val="24"/>
              </w:rPr>
              <w:t xml:space="preserve">, compartimentul Transparența decizională, precum și pe pagina web </w:t>
            </w:r>
            <w:hyperlink r:id="rId8">
              <w:r w:rsidRPr="0012063A">
                <w:rPr>
                  <w:rFonts w:ascii="Times New Roman" w:eastAsia="Times New Roman" w:hAnsi="Times New Roman" w:cs="Times New Roman"/>
                  <w:color w:val="0563C1"/>
                  <w:sz w:val="24"/>
                  <w:szCs w:val="24"/>
                  <w:u w:val="single"/>
                </w:rPr>
                <w:t>www.particip.gov.md</w:t>
              </w:r>
            </w:hyperlink>
            <w:r w:rsidRPr="0012063A">
              <w:rPr>
                <w:rFonts w:ascii="Times New Roman" w:eastAsia="Times New Roman" w:hAnsi="Times New Roman" w:cs="Times New Roman"/>
                <w:color w:val="0563C1"/>
                <w:sz w:val="24"/>
                <w:szCs w:val="24"/>
                <w:u w:val="single"/>
              </w:rPr>
              <w:t xml:space="preserve"> (</w:t>
            </w:r>
            <w:hyperlink r:id="rId9" w:tgtFrame="_blank" w:history="1">
              <w:r w:rsidR="00C70DB9" w:rsidRPr="0012063A">
                <w:rPr>
                  <w:rStyle w:val="a8"/>
                  <w:rFonts w:ascii="Times New Roman" w:hAnsi="Times New Roman" w:cs="Times New Roman"/>
                  <w:color w:val="1155CC"/>
                  <w:shd w:val="clear" w:color="auto" w:fill="FFFFFF"/>
                </w:rPr>
                <w:t>https://particip.gov.md/ro/document/stages/*/12008</w:t>
              </w:r>
            </w:hyperlink>
            <w:r w:rsidRPr="0012063A">
              <w:rPr>
                <w:rFonts w:ascii="Times New Roman" w:eastAsia="Times New Roman" w:hAnsi="Times New Roman" w:cs="Times New Roman"/>
                <w:color w:val="0563C1"/>
                <w:sz w:val="24"/>
                <w:szCs w:val="24"/>
                <w:u w:val="single"/>
              </w:rPr>
              <w:t>)</w:t>
            </w:r>
            <w:r w:rsidRPr="0012063A">
              <w:rPr>
                <w:rFonts w:ascii="Times New Roman" w:eastAsia="Times New Roman" w:hAnsi="Times New Roman" w:cs="Times New Roman"/>
                <w:color w:val="000000"/>
                <w:sz w:val="24"/>
                <w:szCs w:val="24"/>
              </w:rPr>
              <w:t>.</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 xml:space="preserve">Proiectul a </w:t>
            </w:r>
            <w:r w:rsidR="009759E3" w:rsidRPr="0012063A">
              <w:rPr>
                <w:rFonts w:ascii="Times New Roman" w:eastAsia="Times New Roman" w:hAnsi="Times New Roman" w:cs="Times New Roman"/>
                <w:color w:val="000000"/>
                <w:sz w:val="24"/>
                <w:szCs w:val="24"/>
              </w:rPr>
              <w:t>urmează a fi</w:t>
            </w:r>
            <w:r w:rsidRPr="0012063A">
              <w:rPr>
                <w:rFonts w:ascii="Times New Roman" w:eastAsia="Times New Roman" w:hAnsi="Times New Roman" w:cs="Times New Roman"/>
                <w:color w:val="000000"/>
                <w:sz w:val="24"/>
                <w:szCs w:val="24"/>
              </w:rPr>
              <w:t xml:space="preserve"> avizat la Ministerul Justiției, Ministerul Infrastructurii și Dezvoltării Regionale, Agenția </w:t>
            </w:r>
            <w:r w:rsidRPr="0012063A">
              <w:rPr>
                <w:rFonts w:ascii="Times New Roman" w:eastAsia="Times New Roman" w:hAnsi="Times New Roman" w:cs="Times New Roman"/>
                <w:color w:val="000000" w:themeColor="text1"/>
                <w:sz w:val="24"/>
                <w:szCs w:val="24"/>
              </w:rPr>
              <w:t xml:space="preserve">Proprietății Publice </w:t>
            </w:r>
            <w:r w:rsidRPr="0012063A">
              <w:rPr>
                <w:rFonts w:ascii="Times New Roman" w:eastAsia="Times New Roman" w:hAnsi="Times New Roman" w:cs="Times New Roman"/>
                <w:color w:val="000000"/>
                <w:sz w:val="24"/>
                <w:szCs w:val="24"/>
              </w:rPr>
              <w:t>și Agenția Servicii Publice.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8. Constatările expertizei anticorupție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 xml:space="preserve">Proiectul </w:t>
            </w:r>
            <w:r w:rsidR="00677433" w:rsidRPr="0012063A">
              <w:rPr>
                <w:rFonts w:ascii="Times New Roman" w:eastAsia="Times New Roman" w:hAnsi="Times New Roman" w:cs="Times New Roman"/>
                <w:color w:val="000000"/>
                <w:sz w:val="24"/>
                <w:szCs w:val="24"/>
              </w:rPr>
              <w:t>urmează a fi expediat spre expertizare la</w:t>
            </w:r>
            <w:r w:rsidRPr="0012063A">
              <w:rPr>
                <w:rFonts w:ascii="Times New Roman" w:eastAsia="Times New Roman" w:hAnsi="Times New Roman" w:cs="Times New Roman"/>
                <w:color w:val="000000"/>
                <w:sz w:val="24"/>
                <w:szCs w:val="24"/>
              </w:rPr>
              <w:t xml:space="preserve"> Centrul Național Anticorupție.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9. Constatările expertizei de compatibilitate cu legislația Uniunii Europene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Proiectul nu intră în categoria actelor normative care necesită expertiza de compatibilitate cu legislația Uniunii Europene.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10. Constatările expertizei juridice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 xml:space="preserve">Proiectul </w:t>
            </w:r>
            <w:r w:rsidR="00AF6FC5" w:rsidRPr="0012063A">
              <w:rPr>
                <w:rFonts w:ascii="Times New Roman" w:eastAsia="Times New Roman" w:hAnsi="Times New Roman" w:cs="Times New Roman"/>
                <w:color w:val="000000"/>
                <w:sz w:val="24"/>
                <w:szCs w:val="24"/>
              </w:rPr>
              <w:t>urmează a fi</w:t>
            </w:r>
            <w:r w:rsidRPr="0012063A">
              <w:rPr>
                <w:rFonts w:ascii="Times New Roman" w:eastAsia="Times New Roman" w:hAnsi="Times New Roman" w:cs="Times New Roman"/>
                <w:color w:val="000000"/>
                <w:sz w:val="24"/>
                <w:szCs w:val="24"/>
              </w:rPr>
              <w:t xml:space="preserve"> expertizat</w:t>
            </w:r>
            <w:r w:rsidR="00AF6FC5" w:rsidRPr="0012063A">
              <w:rPr>
                <w:rFonts w:ascii="Times New Roman" w:eastAsia="Times New Roman" w:hAnsi="Times New Roman" w:cs="Times New Roman"/>
                <w:color w:val="000000"/>
                <w:sz w:val="24"/>
                <w:szCs w:val="24"/>
              </w:rPr>
              <w:t xml:space="preserve"> la Ministerul Justiției</w:t>
            </w:r>
            <w:r w:rsidRPr="0012063A">
              <w:rPr>
                <w:rFonts w:ascii="Times New Roman" w:eastAsia="Times New Roman" w:hAnsi="Times New Roman" w:cs="Times New Roman"/>
                <w:color w:val="000000"/>
                <w:sz w:val="24"/>
                <w:szCs w:val="24"/>
              </w:rPr>
              <w:t>.</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11. Constatările altor expertize</w:t>
            </w:r>
          </w:p>
          <w:p w:rsidR="008E1210" w:rsidRPr="0012063A" w:rsidRDefault="008E1210" w:rsidP="003C3667">
            <w:pPr>
              <w:pBdr>
                <w:top w:val="nil"/>
                <w:left w:val="nil"/>
                <w:bottom w:val="nil"/>
                <w:right w:val="nil"/>
                <w:between w:val="nil"/>
              </w:pBdr>
              <w:spacing w:after="0" w:line="240" w:lineRule="auto"/>
              <w:ind w:left="264" w:right="116" w:firstLine="540"/>
              <w:jc w:val="both"/>
              <w:rPr>
                <w:rFonts w:ascii="Times New Roman" w:eastAsia="Times New Roman" w:hAnsi="Times New Roman" w:cs="Times New Roman"/>
                <w:color w:val="000000"/>
                <w:sz w:val="24"/>
                <w:szCs w:val="24"/>
              </w:rPr>
            </w:pPr>
            <w:r w:rsidRPr="0012063A">
              <w:rPr>
                <w:rFonts w:ascii="Times New Roman" w:eastAsia="Times New Roman" w:hAnsi="Times New Roman" w:cs="Times New Roman"/>
                <w:color w:val="000000"/>
                <w:sz w:val="24"/>
                <w:szCs w:val="24"/>
              </w:rPr>
              <w:t>Proiectul nu necesită alte expertize.</w:t>
            </w:r>
          </w:p>
        </w:tc>
      </w:tr>
      <w:tr w:rsidR="008E1210" w:rsidRPr="0012063A" w:rsidTr="002826B2">
        <w:trPr>
          <w:gridAfter w:val="1"/>
          <w:wAfter w:w="80" w:type="dxa"/>
        </w:trPr>
        <w:tc>
          <w:tcPr>
            <w:tcW w:w="236" w:type="dxa"/>
          </w:tcPr>
          <w:p w:rsidR="008E1210" w:rsidRPr="0012063A" w:rsidRDefault="008E1210" w:rsidP="002826B2">
            <w:pPr>
              <w:widowControl w:val="0"/>
              <w:pBdr>
                <w:top w:val="nil"/>
                <w:left w:val="nil"/>
                <w:bottom w:val="nil"/>
                <w:right w:val="nil"/>
                <w:between w:val="nil"/>
              </w:pBdr>
              <w:spacing w:after="0" w:line="276" w:lineRule="auto"/>
              <w:ind w:right="116"/>
              <w:rPr>
                <w:rFonts w:ascii="Times New Roman" w:eastAsia="Times New Roman" w:hAnsi="Times New Roman" w:cs="Times New Roman"/>
                <w:color w:val="000000"/>
                <w:sz w:val="24"/>
                <w:szCs w:val="24"/>
              </w:rPr>
            </w:pPr>
          </w:p>
        </w:tc>
        <w:tc>
          <w:tcPr>
            <w:tcW w:w="9742" w:type="dxa"/>
            <w:gridSpan w:val="2"/>
            <w:tcBorders>
              <w:top w:val="nil"/>
              <w:left w:val="nil"/>
              <w:bottom w:val="nil"/>
              <w:right w:val="nil"/>
            </w:tcBorders>
            <w:tcMar>
              <w:top w:w="15" w:type="dxa"/>
              <w:left w:w="15" w:type="dxa"/>
              <w:bottom w:w="15" w:type="dxa"/>
              <w:right w:w="221" w:type="dxa"/>
            </w:tcMar>
          </w:tcPr>
          <w:p w:rsidR="008E1210" w:rsidRPr="0012063A" w:rsidRDefault="008E1210" w:rsidP="002826B2">
            <w:pPr>
              <w:pBdr>
                <w:top w:val="nil"/>
                <w:left w:val="nil"/>
                <w:bottom w:val="nil"/>
                <w:right w:val="nil"/>
                <w:between w:val="nil"/>
              </w:pBdr>
              <w:spacing w:after="0" w:line="240" w:lineRule="auto"/>
              <w:ind w:right="116" w:firstLine="540"/>
              <w:jc w:val="both"/>
              <w:rPr>
                <w:rFonts w:ascii="Times New Roman" w:eastAsia="Times New Roman" w:hAnsi="Times New Roman" w:cs="Times New Roman"/>
                <w:color w:val="000000"/>
                <w:sz w:val="24"/>
                <w:szCs w:val="24"/>
              </w:rPr>
            </w:pPr>
          </w:p>
        </w:tc>
      </w:tr>
    </w:tbl>
    <w:p w:rsidR="008E1210" w:rsidRPr="0012063A" w:rsidRDefault="008E1210" w:rsidP="002826B2">
      <w:pPr>
        <w:pBdr>
          <w:top w:val="nil"/>
          <w:left w:val="nil"/>
          <w:bottom w:val="nil"/>
          <w:right w:val="nil"/>
          <w:between w:val="nil"/>
        </w:pBdr>
        <w:spacing w:after="0" w:line="240" w:lineRule="auto"/>
        <w:ind w:right="116" w:firstLine="540"/>
        <w:jc w:val="both"/>
        <w:rPr>
          <w:rFonts w:ascii="Times New Roman" w:eastAsia="Times New Roman" w:hAnsi="Times New Roman" w:cs="Times New Roman"/>
          <w:color w:val="000000"/>
          <w:sz w:val="24"/>
          <w:szCs w:val="24"/>
        </w:rPr>
      </w:pPr>
    </w:p>
    <w:p w:rsidR="008E1210" w:rsidRPr="0012063A" w:rsidRDefault="008E1210" w:rsidP="002826B2">
      <w:pPr>
        <w:pBdr>
          <w:top w:val="nil"/>
          <w:left w:val="nil"/>
          <w:bottom w:val="nil"/>
          <w:right w:val="nil"/>
          <w:between w:val="nil"/>
        </w:pBdr>
        <w:spacing w:after="0" w:line="240" w:lineRule="auto"/>
        <w:ind w:right="116" w:firstLine="540"/>
        <w:jc w:val="both"/>
        <w:rPr>
          <w:rFonts w:ascii="Times New Roman" w:eastAsia="Times New Roman" w:hAnsi="Times New Roman" w:cs="Times New Roman"/>
          <w:color w:val="000000"/>
          <w:sz w:val="24"/>
          <w:szCs w:val="24"/>
        </w:rPr>
      </w:pPr>
    </w:p>
    <w:p w:rsidR="008E1210" w:rsidRPr="0012063A" w:rsidRDefault="008E1210" w:rsidP="002826B2">
      <w:pPr>
        <w:pBdr>
          <w:top w:val="nil"/>
          <w:left w:val="nil"/>
          <w:bottom w:val="nil"/>
          <w:right w:val="nil"/>
          <w:between w:val="nil"/>
        </w:pBdr>
        <w:spacing w:after="0" w:line="240" w:lineRule="auto"/>
        <w:ind w:right="116" w:firstLine="540"/>
        <w:jc w:val="center"/>
        <w:rPr>
          <w:rFonts w:ascii="Times New Roman" w:eastAsia="Times New Roman" w:hAnsi="Times New Roman" w:cs="Times New Roman"/>
          <w:b/>
          <w:color w:val="000000"/>
          <w:sz w:val="24"/>
          <w:szCs w:val="24"/>
        </w:rPr>
      </w:pPr>
      <w:r w:rsidRPr="0012063A">
        <w:rPr>
          <w:rFonts w:ascii="Times New Roman" w:eastAsia="Times New Roman" w:hAnsi="Times New Roman" w:cs="Times New Roman"/>
          <w:b/>
          <w:color w:val="000000"/>
          <w:sz w:val="24"/>
          <w:szCs w:val="24"/>
        </w:rPr>
        <w:t>Ministru</w:t>
      </w:r>
      <w:r w:rsidRPr="0012063A">
        <w:rPr>
          <w:rFonts w:ascii="Times New Roman" w:eastAsia="Times New Roman" w:hAnsi="Times New Roman" w:cs="Times New Roman"/>
          <w:b/>
          <w:color w:val="000000"/>
          <w:sz w:val="24"/>
          <w:szCs w:val="24"/>
        </w:rPr>
        <w:tab/>
      </w:r>
      <w:r w:rsidRPr="0012063A">
        <w:rPr>
          <w:rFonts w:ascii="Times New Roman" w:eastAsia="Times New Roman" w:hAnsi="Times New Roman" w:cs="Times New Roman"/>
          <w:b/>
          <w:color w:val="000000"/>
          <w:sz w:val="24"/>
          <w:szCs w:val="24"/>
        </w:rPr>
        <w:tab/>
      </w:r>
      <w:r w:rsidRPr="0012063A">
        <w:rPr>
          <w:rFonts w:ascii="Times New Roman" w:eastAsia="Times New Roman" w:hAnsi="Times New Roman" w:cs="Times New Roman"/>
          <w:b/>
          <w:color w:val="000000"/>
          <w:sz w:val="24"/>
          <w:szCs w:val="24"/>
        </w:rPr>
        <w:tab/>
      </w:r>
      <w:r w:rsidRPr="0012063A">
        <w:rPr>
          <w:rFonts w:ascii="Times New Roman" w:eastAsia="Times New Roman" w:hAnsi="Times New Roman" w:cs="Times New Roman"/>
          <w:b/>
          <w:color w:val="000000"/>
          <w:sz w:val="24"/>
          <w:szCs w:val="24"/>
        </w:rPr>
        <w:tab/>
      </w:r>
      <w:r w:rsidRPr="0012063A">
        <w:rPr>
          <w:rFonts w:ascii="Times New Roman" w:eastAsia="Times New Roman" w:hAnsi="Times New Roman" w:cs="Times New Roman"/>
          <w:b/>
          <w:color w:val="000000"/>
          <w:sz w:val="24"/>
          <w:szCs w:val="24"/>
        </w:rPr>
        <w:tab/>
        <w:t>Dan PERCIUN</w:t>
      </w:r>
    </w:p>
    <w:p w:rsidR="008E1210" w:rsidRPr="0012063A" w:rsidRDefault="008E1210" w:rsidP="002826B2">
      <w:pPr>
        <w:pBdr>
          <w:top w:val="nil"/>
          <w:left w:val="nil"/>
          <w:bottom w:val="nil"/>
          <w:right w:val="nil"/>
          <w:between w:val="nil"/>
        </w:pBdr>
        <w:spacing w:after="0" w:line="240" w:lineRule="auto"/>
        <w:ind w:right="116"/>
        <w:jc w:val="both"/>
        <w:rPr>
          <w:rFonts w:ascii="Times New Roman" w:eastAsia="Times New Roman" w:hAnsi="Times New Roman" w:cs="Times New Roman"/>
          <w:color w:val="000000"/>
          <w:sz w:val="24"/>
          <w:szCs w:val="24"/>
        </w:rPr>
      </w:pPr>
    </w:p>
    <w:p w:rsidR="008E1210" w:rsidRPr="0012063A" w:rsidRDefault="008E1210"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E1210" w:rsidRPr="0012063A" w:rsidRDefault="008E1210" w:rsidP="008E1210">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p>
    <w:p w:rsidR="008E1210" w:rsidRPr="0012063A" w:rsidRDefault="008E1210" w:rsidP="008E1210">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p>
    <w:p w:rsidR="008E1210" w:rsidRPr="0012063A" w:rsidRDefault="008E1210" w:rsidP="008E1210">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p>
    <w:p w:rsidR="008E1210" w:rsidRPr="0012063A" w:rsidRDefault="008E1210" w:rsidP="008E1210">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p>
    <w:p w:rsidR="008E1210" w:rsidRPr="0012063A" w:rsidRDefault="008E1210" w:rsidP="008E1210">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bookmarkStart w:id="0" w:name="_GoBack"/>
      <w:bookmarkEnd w:id="0"/>
    </w:p>
    <w:p w:rsidR="008E1210" w:rsidRPr="0012063A" w:rsidRDefault="008E1210"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 w:name="_gjdgxs" w:colFirst="0" w:colLast="0"/>
      <w:bookmarkEnd w:id="1"/>
    </w:p>
    <w:p w:rsidR="008E1210" w:rsidRPr="0012063A" w:rsidRDefault="008E1210"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826B2" w:rsidRPr="0012063A" w:rsidRDefault="002826B2" w:rsidP="008E121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E1210" w:rsidRPr="0012063A" w:rsidRDefault="008E1210" w:rsidP="008E1210">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16"/>
          <w:szCs w:val="16"/>
        </w:rPr>
      </w:pPr>
      <w:r w:rsidRPr="0012063A">
        <w:rPr>
          <w:rFonts w:ascii="Times New Roman" w:eastAsia="Times New Roman" w:hAnsi="Times New Roman" w:cs="Times New Roman"/>
          <w:color w:val="000000"/>
          <w:sz w:val="16"/>
          <w:szCs w:val="16"/>
        </w:rPr>
        <w:t>Ex. Vasile Secrieru, consultant juridic</w:t>
      </w:r>
    </w:p>
    <w:p w:rsidR="0045230C" w:rsidRPr="0012063A" w:rsidRDefault="008E1210" w:rsidP="002826B2">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16"/>
          <w:szCs w:val="16"/>
        </w:rPr>
      </w:pPr>
      <w:r w:rsidRPr="0012063A">
        <w:rPr>
          <w:rFonts w:ascii="Times New Roman" w:eastAsia="Times New Roman" w:hAnsi="Times New Roman" w:cs="Times New Roman"/>
          <w:color w:val="000000"/>
          <w:sz w:val="16"/>
          <w:szCs w:val="16"/>
        </w:rPr>
        <w:t>Tel. 068269785</w:t>
      </w:r>
    </w:p>
    <w:sectPr w:rsidR="0045230C" w:rsidRPr="0012063A" w:rsidSect="002826B2">
      <w:footerReference w:type="default" r:id="rId10"/>
      <w:pgSz w:w="11906" w:h="16838"/>
      <w:pgMar w:top="851" w:right="991" w:bottom="993" w:left="1276" w:header="708" w:footer="1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C8" w:rsidRDefault="008445C8" w:rsidP="008E696F">
      <w:pPr>
        <w:spacing w:after="0" w:line="240" w:lineRule="auto"/>
      </w:pPr>
      <w:r>
        <w:separator/>
      </w:r>
    </w:p>
  </w:endnote>
  <w:endnote w:type="continuationSeparator" w:id="0">
    <w:p w:rsidR="008445C8" w:rsidRDefault="008445C8" w:rsidP="008E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ED0" w:rsidRDefault="008C6957">
    <w:pPr>
      <w:pBdr>
        <w:top w:val="nil"/>
        <w:left w:val="nil"/>
        <w:bottom w:val="nil"/>
        <w:right w:val="nil"/>
        <w:between w:val="nil"/>
      </w:pBdr>
      <w:tabs>
        <w:tab w:val="center" w:pos="4677"/>
        <w:tab w:val="right" w:pos="9355"/>
      </w:tabs>
      <w:spacing w:after="0" w:line="240" w:lineRule="auto"/>
      <w:jc w:val="right"/>
      <w:rPr>
        <w:color w:val="000000"/>
      </w:rPr>
    </w:pPr>
    <w:r>
      <w:rPr>
        <w:color w:val="000000"/>
      </w:rPr>
      <w:t xml:space="preserve">Pagina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063A">
      <w:rPr>
        <w:b/>
        <w:noProof/>
        <w:color w:val="000000"/>
        <w:sz w:val="24"/>
        <w:szCs w:val="24"/>
      </w:rPr>
      <w:t>5</w:t>
    </w:r>
    <w:r>
      <w:rPr>
        <w:b/>
        <w:color w:val="000000"/>
        <w:sz w:val="24"/>
        <w:szCs w:val="24"/>
      </w:rPr>
      <w:fldChar w:fldCharType="end"/>
    </w:r>
    <w:r>
      <w:rPr>
        <w:color w:val="000000"/>
      </w:rPr>
      <w:t xml:space="preserve"> din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063A">
      <w:rPr>
        <w:b/>
        <w:noProof/>
        <w:color w:val="000000"/>
        <w:sz w:val="24"/>
        <w:szCs w:val="24"/>
      </w:rPr>
      <w:t>5</w:t>
    </w:r>
    <w:r>
      <w:rPr>
        <w:b/>
        <w:color w:val="000000"/>
        <w:sz w:val="24"/>
        <w:szCs w:val="24"/>
      </w:rPr>
      <w:fldChar w:fldCharType="end"/>
    </w:r>
  </w:p>
  <w:p w:rsidR="00A62ED0" w:rsidRDefault="008445C8">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C8" w:rsidRDefault="008445C8" w:rsidP="008E696F">
      <w:pPr>
        <w:spacing w:after="0" w:line="240" w:lineRule="auto"/>
      </w:pPr>
      <w:r>
        <w:separator/>
      </w:r>
    </w:p>
  </w:footnote>
  <w:footnote w:type="continuationSeparator" w:id="0">
    <w:p w:rsidR="008445C8" w:rsidRDefault="008445C8" w:rsidP="008E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A7A1A"/>
    <w:multiLevelType w:val="hybridMultilevel"/>
    <w:tmpl w:val="F0268596"/>
    <w:lvl w:ilvl="0" w:tplc="3EFE058A">
      <w:start w:val="1"/>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9F"/>
    <w:rsid w:val="00077294"/>
    <w:rsid w:val="0012063A"/>
    <w:rsid w:val="001A4BA9"/>
    <w:rsid w:val="002557C3"/>
    <w:rsid w:val="002826B2"/>
    <w:rsid w:val="002A6686"/>
    <w:rsid w:val="00313D52"/>
    <w:rsid w:val="00363A26"/>
    <w:rsid w:val="003C3667"/>
    <w:rsid w:val="0045230C"/>
    <w:rsid w:val="00472483"/>
    <w:rsid w:val="00486B68"/>
    <w:rsid w:val="004B3A79"/>
    <w:rsid w:val="0050488E"/>
    <w:rsid w:val="0052246F"/>
    <w:rsid w:val="00563489"/>
    <w:rsid w:val="005B712E"/>
    <w:rsid w:val="00677433"/>
    <w:rsid w:val="006C0C1F"/>
    <w:rsid w:val="00776C0E"/>
    <w:rsid w:val="008445C8"/>
    <w:rsid w:val="008C6957"/>
    <w:rsid w:val="008D1083"/>
    <w:rsid w:val="008E1210"/>
    <w:rsid w:val="008E696F"/>
    <w:rsid w:val="009358F1"/>
    <w:rsid w:val="009759E3"/>
    <w:rsid w:val="009A6BE2"/>
    <w:rsid w:val="009B36CD"/>
    <w:rsid w:val="00A65518"/>
    <w:rsid w:val="00AF4259"/>
    <w:rsid w:val="00AF6FC5"/>
    <w:rsid w:val="00B558CA"/>
    <w:rsid w:val="00BD054B"/>
    <w:rsid w:val="00C70DB9"/>
    <w:rsid w:val="00D47839"/>
    <w:rsid w:val="00D56DF0"/>
    <w:rsid w:val="00DC0BC1"/>
    <w:rsid w:val="00E05E76"/>
    <w:rsid w:val="00E46684"/>
    <w:rsid w:val="00E91E9F"/>
    <w:rsid w:val="00EC642B"/>
    <w:rsid w:val="00ED5554"/>
    <w:rsid w:val="00F112C0"/>
    <w:rsid w:val="00F50DAB"/>
    <w:rsid w:val="00F667A0"/>
    <w:rsid w:val="00FD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8B7F2"/>
  <w15:chartTrackingRefBased/>
  <w15:docId w15:val="{6B73FF0B-F1E7-4FFF-B7F9-BBA3BF23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1210"/>
    <w:rPr>
      <w:rFonts w:ascii="Calibri" w:eastAsia="Calibri" w:hAnsi="Calibri" w:cs="Calibri"/>
      <w:lang w:val="ro-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518"/>
    <w:pPr>
      <w:spacing w:after="0" w:line="240" w:lineRule="auto"/>
      <w:ind w:left="720"/>
      <w:contextualSpacing/>
    </w:pPr>
    <w:rPr>
      <w:rFonts w:ascii="Times New Roman" w:eastAsia="Times New Roman" w:hAnsi="Times New Roman" w:cs="Times New Roman"/>
      <w:sz w:val="24"/>
      <w:szCs w:val="20"/>
      <w:lang w:val="en-US" w:eastAsia="ro-RO"/>
    </w:rPr>
  </w:style>
  <w:style w:type="paragraph" w:styleId="a4">
    <w:name w:val="header"/>
    <w:basedOn w:val="a"/>
    <w:link w:val="a5"/>
    <w:uiPriority w:val="99"/>
    <w:unhideWhenUsed/>
    <w:rsid w:val="008E69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696F"/>
    <w:rPr>
      <w:rFonts w:ascii="Calibri" w:eastAsia="Calibri" w:hAnsi="Calibri" w:cs="Calibri"/>
      <w:lang w:val="ro-MD" w:eastAsia="ru-RU"/>
    </w:rPr>
  </w:style>
  <w:style w:type="paragraph" w:styleId="a6">
    <w:name w:val="footer"/>
    <w:basedOn w:val="a"/>
    <w:link w:val="a7"/>
    <w:uiPriority w:val="99"/>
    <w:unhideWhenUsed/>
    <w:rsid w:val="008E69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696F"/>
    <w:rPr>
      <w:rFonts w:ascii="Calibri" w:eastAsia="Calibri" w:hAnsi="Calibri" w:cs="Calibri"/>
      <w:lang w:val="ro-MD" w:eastAsia="ru-RU"/>
    </w:rPr>
  </w:style>
  <w:style w:type="character" w:styleId="a8">
    <w:name w:val="Hyperlink"/>
    <w:basedOn w:val="a0"/>
    <w:uiPriority w:val="99"/>
    <w:semiHidden/>
    <w:unhideWhenUsed/>
    <w:rsid w:val="00C70DB9"/>
    <w:rPr>
      <w:color w:val="0000FF"/>
      <w:u w:val="single"/>
    </w:rPr>
  </w:style>
  <w:style w:type="paragraph" w:styleId="a9">
    <w:name w:val="Balloon Text"/>
    <w:basedOn w:val="a"/>
    <w:link w:val="aa"/>
    <w:uiPriority w:val="99"/>
    <w:semiHidden/>
    <w:unhideWhenUsed/>
    <w:rsid w:val="00BD05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D054B"/>
    <w:rPr>
      <w:rFonts w:ascii="Segoe UI" w:eastAsia="Calibri" w:hAnsi="Segoe UI" w:cs="Segoe UI"/>
      <w:sz w:val="18"/>
      <w:szCs w:val="18"/>
      <w:lang w:val="ro-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ettings" Target="settings.xml"/><Relationship Id="rId7" Type="http://schemas.openxmlformats.org/officeDocument/2006/relationships/hyperlink" Target="http://www.mec.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rticip.gov.md/ro/document/stages/*/1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2663</Words>
  <Characters>15181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2024-02-08T14:49:00Z</cp:lastPrinted>
  <dcterms:created xsi:type="dcterms:W3CDTF">2024-02-08T11:22:00Z</dcterms:created>
  <dcterms:modified xsi:type="dcterms:W3CDTF">2024-02-12T06:29:00Z</dcterms:modified>
</cp:coreProperties>
</file>