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F4" w:rsidRPr="003472FD" w:rsidRDefault="00E85AF4" w:rsidP="00E85AF4">
      <w:pPr>
        <w:jc w:val="center"/>
        <w:rPr>
          <w:b/>
          <w:sz w:val="28"/>
          <w:szCs w:val="28"/>
          <w:lang w:val="ro-RO"/>
        </w:rPr>
      </w:pPr>
      <w:r w:rsidRPr="003472FD">
        <w:rPr>
          <w:b/>
          <w:sz w:val="28"/>
          <w:szCs w:val="28"/>
          <w:lang w:val="fr-BE"/>
        </w:rPr>
        <w:t>Not</w:t>
      </w:r>
      <w:r w:rsidRPr="003472FD">
        <w:rPr>
          <w:b/>
          <w:sz w:val="28"/>
          <w:szCs w:val="28"/>
          <w:lang w:val="ro-RO"/>
        </w:rPr>
        <w:t>ă informativă</w:t>
      </w:r>
    </w:p>
    <w:p w:rsidR="00E85AF4" w:rsidRPr="003472FD" w:rsidRDefault="00E85AF4" w:rsidP="00E85AF4">
      <w:pPr>
        <w:jc w:val="center"/>
        <w:rPr>
          <w:b/>
          <w:bCs/>
          <w:noProof/>
          <w:sz w:val="28"/>
          <w:szCs w:val="28"/>
          <w:lang w:val="ro-MO"/>
        </w:rPr>
      </w:pPr>
      <w:r w:rsidRPr="003472FD">
        <w:rPr>
          <w:b/>
          <w:sz w:val="28"/>
          <w:szCs w:val="28"/>
          <w:lang w:val="ro-RO"/>
        </w:rPr>
        <w:t xml:space="preserve">la proiectul </w:t>
      </w:r>
      <w:proofErr w:type="spellStart"/>
      <w:r w:rsidRPr="003472FD">
        <w:rPr>
          <w:b/>
          <w:sz w:val="28"/>
          <w:szCs w:val="28"/>
          <w:lang w:val="ro-RO"/>
        </w:rPr>
        <w:t>hotărîrii</w:t>
      </w:r>
      <w:proofErr w:type="spellEnd"/>
      <w:r w:rsidRPr="003472FD">
        <w:rPr>
          <w:b/>
          <w:sz w:val="28"/>
          <w:szCs w:val="28"/>
          <w:lang w:val="ro-RO"/>
        </w:rPr>
        <w:t xml:space="preserve"> Guvernului „Cu privire la C</w:t>
      </w:r>
      <w:r w:rsidRPr="003472FD">
        <w:rPr>
          <w:b/>
          <w:bCs/>
          <w:noProof/>
          <w:sz w:val="28"/>
          <w:szCs w:val="28"/>
          <w:lang w:val="ro-MO"/>
        </w:rPr>
        <w:t>omisia pentru dispozitive medicale”</w:t>
      </w:r>
    </w:p>
    <w:p w:rsidR="00E85AF4" w:rsidRPr="003472FD" w:rsidRDefault="00E85AF4" w:rsidP="00E85AF4">
      <w:pPr>
        <w:jc w:val="center"/>
        <w:rPr>
          <w:b/>
          <w:sz w:val="28"/>
          <w:szCs w:val="28"/>
          <w:lang w:val="ro-RO"/>
        </w:rPr>
      </w:pPr>
    </w:p>
    <w:p w:rsidR="00E85AF4" w:rsidRPr="003472FD" w:rsidRDefault="00E85AF4" w:rsidP="00E85AF4">
      <w:pPr>
        <w:shd w:val="clear" w:color="auto" w:fill="FFFFFF"/>
        <w:ind w:firstLine="701"/>
        <w:rPr>
          <w:sz w:val="28"/>
          <w:szCs w:val="28"/>
          <w:lang w:val="en-US"/>
        </w:rPr>
      </w:pPr>
      <w:r w:rsidRPr="003472FD">
        <w:rPr>
          <w:b/>
          <w:bCs/>
          <w:i/>
          <w:iCs/>
          <w:sz w:val="28"/>
          <w:szCs w:val="28"/>
          <w:lang w:val="ro-RO"/>
        </w:rPr>
        <w:t>Cauzele care au condiţionat elaborarea proiectului, iniţiatorii proiectului</w:t>
      </w:r>
    </w:p>
    <w:p w:rsidR="00E85AF4" w:rsidRPr="003472FD" w:rsidRDefault="00E85AF4" w:rsidP="00E85AF4">
      <w:pPr>
        <w:pStyle w:val="a5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Elaborarea proiectului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 Guvernului „</w:t>
      </w:r>
      <w:r w:rsidRPr="003D7851">
        <w:rPr>
          <w:rFonts w:ascii="Times New Roman" w:hAnsi="Times New Roman" w:cs="Times New Roman"/>
          <w:sz w:val="28"/>
          <w:szCs w:val="28"/>
          <w:lang w:val="ro-RO"/>
        </w:rPr>
        <w:t>Cu privire la C</w:t>
      </w:r>
      <w:r w:rsidRPr="003D7851">
        <w:rPr>
          <w:rFonts w:ascii="Times New Roman" w:hAnsi="Times New Roman" w:cs="Times New Roman"/>
          <w:bCs/>
          <w:noProof/>
          <w:sz w:val="28"/>
          <w:szCs w:val="28"/>
          <w:lang w:val="ro-MO"/>
        </w:rPr>
        <w:t>omisia pentru dispozitive medicale</w:t>
      </w:r>
      <w:r w:rsidRPr="003D7851">
        <w:rPr>
          <w:rFonts w:ascii="Times New Roman" w:hAnsi="Times New Roman" w:cs="Times New Roman"/>
          <w:sz w:val="28"/>
          <w:szCs w:val="28"/>
          <w:lang w:val="ro-RO"/>
        </w:rPr>
        <w:t xml:space="preserve">” este </w:t>
      </w:r>
      <w:r>
        <w:rPr>
          <w:rFonts w:ascii="Times New Roman" w:hAnsi="Times New Roman" w:cs="Times New Roman"/>
          <w:sz w:val="28"/>
          <w:szCs w:val="28"/>
          <w:lang w:val="ro-RO"/>
        </w:rPr>
        <w:t>determi</w:t>
      </w:r>
      <w:r w:rsidRPr="003D7851">
        <w:rPr>
          <w:rFonts w:ascii="Times New Roman" w:hAnsi="Times New Roman" w:cs="Times New Roman"/>
          <w:sz w:val="28"/>
          <w:szCs w:val="28"/>
          <w:lang w:val="ro-RO"/>
        </w:rPr>
        <w:t>nată de prevederile art. 4 din  Legea ocrotirea sănătăţii nr. 411</w:t>
      </w:r>
      <w:r>
        <w:rPr>
          <w:rFonts w:ascii="Times New Roman" w:hAnsi="Times New Roman" w:cs="Times New Roman"/>
          <w:sz w:val="28"/>
          <w:szCs w:val="28"/>
          <w:lang w:val="ro-RO"/>
        </w:rPr>
        <w:t>-XIII</w:t>
      </w:r>
      <w:r w:rsidRPr="003D7851">
        <w:rPr>
          <w:rFonts w:ascii="Times New Roman" w:hAnsi="Times New Roman" w:cs="Times New Roman"/>
          <w:sz w:val="28"/>
          <w:szCs w:val="28"/>
          <w:lang w:val="ro-RO"/>
        </w:rPr>
        <w:t xml:space="preserve"> din 2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3D7851">
        <w:rPr>
          <w:rFonts w:ascii="Times New Roman" w:hAnsi="Times New Roman" w:cs="Times New Roman"/>
          <w:sz w:val="28"/>
          <w:szCs w:val="28"/>
          <w:lang w:val="ro-RO"/>
        </w:rPr>
        <w:t xml:space="preserve"> martie 1995, alin. (3) art. 8 din Legea nr. 92 din 26 aprilie 2012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D7851">
        <w:rPr>
          <w:rFonts w:ascii="Times New Roman" w:hAnsi="Times New Roman" w:cs="Times New Roman"/>
          <w:sz w:val="28"/>
          <w:szCs w:val="28"/>
          <w:lang w:val="ro-RO"/>
        </w:rPr>
        <w:t>cu privire la dispozitivele medicale.</w:t>
      </w:r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85AF4" w:rsidRPr="003D7851" w:rsidRDefault="00E85AF4" w:rsidP="00E85AF4">
      <w:pPr>
        <w:shd w:val="clear" w:color="auto" w:fill="FFFFFF"/>
        <w:spacing w:line="326" w:lineRule="exact"/>
        <w:ind w:firstLine="701"/>
        <w:jc w:val="both"/>
        <w:rPr>
          <w:sz w:val="28"/>
          <w:szCs w:val="28"/>
          <w:lang w:val="ro-RO"/>
        </w:rPr>
      </w:pPr>
      <w:r w:rsidRPr="003472FD">
        <w:rPr>
          <w:sz w:val="28"/>
          <w:szCs w:val="28"/>
          <w:lang w:val="ro-RO"/>
        </w:rPr>
        <w:t xml:space="preserve">Dispozitivele medicale au un impact major asupra sănătăţii populaţiei, fapt ce a servit şi unul din factorii importanţi ce </w:t>
      </w:r>
      <w:r>
        <w:rPr>
          <w:sz w:val="28"/>
          <w:szCs w:val="28"/>
          <w:lang w:val="ro-RO"/>
        </w:rPr>
        <w:t>determină</w:t>
      </w:r>
      <w:r w:rsidRPr="003472FD">
        <w:rPr>
          <w:sz w:val="28"/>
          <w:szCs w:val="28"/>
          <w:lang w:val="ro-RO"/>
        </w:rPr>
        <w:t xml:space="preserve"> reglementarea activităţilor în domeniul dispozitivelor medicale</w:t>
      </w:r>
      <w:r>
        <w:rPr>
          <w:sz w:val="28"/>
          <w:szCs w:val="28"/>
          <w:lang w:val="ro-RO"/>
        </w:rPr>
        <w:t>, în mod special organizarea şi desfăşurarea investigaţiilor clinice, înainte de a fi introduse pe piaţă</w:t>
      </w:r>
      <w:r w:rsidRPr="003472FD">
        <w:rPr>
          <w:sz w:val="28"/>
          <w:szCs w:val="28"/>
          <w:lang w:val="ro-RO"/>
        </w:rPr>
        <w:t xml:space="preserve">. Alinierea la prevederile legislaţiei europene </w:t>
      </w:r>
      <w:r>
        <w:rPr>
          <w:sz w:val="28"/>
          <w:szCs w:val="28"/>
          <w:lang w:val="ro-RO"/>
        </w:rPr>
        <w:t xml:space="preserve">pe acest segment </w:t>
      </w:r>
      <w:r w:rsidRPr="003472FD">
        <w:rPr>
          <w:sz w:val="28"/>
          <w:szCs w:val="28"/>
          <w:lang w:val="ro-RO"/>
        </w:rPr>
        <w:t>va permite o circulaţie</w:t>
      </w:r>
      <w:r w:rsidRPr="003D785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liberă,</w:t>
      </w:r>
      <w:r w:rsidRPr="003472FD">
        <w:rPr>
          <w:sz w:val="28"/>
          <w:szCs w:val="28"/>
          <w:lang w:val="ro-RO"/>
        </w:rPr>
        <w:t xml:space="preserve"> precum şi o garantare a </w:t>
      </w:r>
      <w:r>
        <w:rPr>
          <w:sz w:val="28"/>
          <w:szCs w:val="28"/>
          <w:lang w:val="ro-RO"/>
        </w:rPr>
        <w:t xml:space="preserve">siguranţei şi </w:t>
      </w:r>
      <w:r w:rsidRPr="003472FD">
        <w:rPr>
          <w:sz w:val="28"/>
          <w:szCs w:val="28"/>
          <w:lang w:val="ro-RO"/>
        </w:rPr>
        <w:t>calităţii</w:t>
      </w:r>
      <w:r>
        <w:rPr>
          <w:sz w:val="28"/>
          <w:szCs w:val="28"/>
          <w:lang w:val="ro-RO"/>
        </w:rPr>
        <w:t xml:space="preserve"> </w:t>
      </w:r>
      <w:r w:rsidRPr="003472FD">
        <w:rPr>
          <w:sz w:val="28"/>
          <w:szCs w:val="28"/>
          <w:lang w:val="ro-RO"/>
        </w:rPr>
        <w:t>dispozitivelor medicale.</w:t>
      </w:r>
    </w:p>
    <w:p w:rsidR="00E85AF4" w:rsidRPr="003472FD" w:rsidRDefault="00E85AF4" w:rsidP="00E85AF4">
      <w:pPr>
        <w:ind w:firstLine="701"/>
        <w:jc w:val="both"/>
        <w:rPr>
          <w:rFonts w:eastAsia="Calibri"/>
          <w:sz w:val="28"/>
          <w:szCs w:val="28"/>
          <w:lang w:val="ro-RO"/>
        </w:rPr>
      </w:pPr>
      <w:r w:rsidRPr="003472FD">
        <w:rPr>
          <w:rFonts w:eastAsia="Calibri"/>
          <w:sz w:val="28"/>
          <w:szCs w:val="28"/>
          <w:lang w:val="ro-RO"/>
        </w:rPr>
        <w:t>În contextul implementării Programului de activitate al Guvernului Republicii Moldova „Integrarea Europeană: Libertate, Democraţie, Bunăstare”, vectorul prioritar al tuturor angajamentelor asumate este axat spre integrarea în spaţiul european.</w:t>
      </w:r>
    </w:p>
    <w:p w:rsidR="00E85AF4" w:rsidRPr="003472FD" w:rsidRDefault="00E85AF4" w:rsidP="00E85AF4">
      <w:pPr>
        <w:shd w:val="clear" w:color="auto" w:fill="FFFFFF"/>
        <w:ind w:firstLine="346"/>
        <w:rPr>
          <w:bCs/>
          <w:spacing w:val="-3"/>
          <w:sz w:val="28"/>
          <w:szCs w:val="28"/>
          <w:lang w:val="ro-RO"/>
        </w:rPr>
      </w:pPr>
    </w:p>
    <w:p w:rsidR="00E85AF4" w:rsidRPr="003472FD" w:rsidRDefault="00E85AF4" w:rsidP="00E85AF4">
      <w:pPr>
        <w:shd w:val="clear" w:color="auto" w:fill="FFFFFF"/>
        <w:ind w:firstLine="701"/>
        <w:rPr>
          <w:i/>
          <w:sz w:val="28"/>
          <w:szCs w:val="28"/>
          <w:lang w:val="en-US"/>
        </w:rPr>
      </w:pPr>
      <w:r w:rsidRPr="003472FD">
        <w:rPr>
          <w:b/>
          <w:bCs/>
          <w:i/>
          <w:spacing w:val="-3"/>
          <w:sz w:val="28"/>
          <w:szCs w:val="28"/>
          <w:lang w:val="ro-RO"/>
        </w:rPr>
        <w:t>Scopul proiectului</w:t>
      </w:r>
    </w:p>
    <w:p w:rsidR="00E85AF4" w:rsidRDefault="00E85AF4" w:rsidP="00E85AF4">
      <w:pPr>
        <w:pStyle w:val="a5"/>
        <w:shd w:val="clear" w:color="auto" w:fill="FFFFFF" w:themeFill="background1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o-RO"/>
        </w:rPr>
      </w:pPr>
      <w:bookmarkStart w:id="0" w:name="_GoBack"/>
      <w:bookmarkEnd w:id="0"/>
      <w:r w:rsidRPr="003D7851">
        <w:rPr>
          <w:rFonts w:ascii="Times New Roman" w:hAnsi="Times New Roman" w:cs="Times New Roman"/>
          <w:sz w:val="28"/>
          <w:szCs w:val="28"/>
          <w:lang w:val="ro-RO"/>
        </w:rPr>
        <w:t xml:space="preserve">Investigaţiile clinice sunt primordiale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şi decisive </w:t>
      </w:r>
      <w:r w:rsidRPr="003D7851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procesul de </w:t>
      </w:r>
      <w:r w:rsidRPr="003D7851">
        <w:rPr>
          <w:rFonts w:ascii="Times New Roman" w:hAnsi="Times New Roman" w:cs="Times New Roman"/>
          <w:sz w:val="28"/>
          <w:szCs w:val="28"/>
          <w:lang w:val="ro-RO"/>
        </w:rPr>
        <w:t>evaluare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D7851">
        <w:rPr>
          <w:rFonts w:ascii="Times New Roman" w:hAnsi="Times New Roman" w:cs="Times New Roman"/>
          <w:sz w:val="28"/>
          <w:szCs w:val="28"/>
          <w:lang w:val="ro-RO"/>
        </w:rPr>
        <w:t xml:space="preserve">a dispozitivelor medicale noi. În lipsa acestor investigaţii este imposibil de cercetat efectul utilizării dispozitivelor. Din acest considerent, aprobarea Regulamentului Comisiei pentru dispozitive medicale este soluţia decisivă în stabilirea cadrului </w:t>
      </w:r>
      <w:r>
        <w:rPr>
          <w:rFonts w:ascii="Times New Roman" w:hAnsi="Times New Roman" w:cs="Times New Roman"/>
          <w:sz w:val="28"/>
          <w:szCs w:val="28"/>
          <w:lang w:val="ro-RO"/>
        </w:rPr>
        <w:t>normativ</w:t>
      </w:r>
      <w:r w:rsidRPr="003D7851">
        <w:rPr>
          <w:rFonts w:ascii="Times New Roman" w:hAnsi="Times New Roman" w:cs="Times New Roman"/>
          <w:sz w:val="28"/>
          <w:szCs w:val="28"/>
          <w:lang w:val="ro-RO"/>
        </w:rPr>
        <w:t xml:space="preserve"> în ceea ce priveşte respectarea principiilor generale în studiul clinic pe subiecţi umani.</w:t>
      </w:r>
      <w:r w:rsidRPr="003472F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o-RO"/>
        </w:rPr>
        <w:t xml:space="preserve"> </w:t>
      </w:r>
    </w:p>
    <w:p w:rsidR="00E85AF4" w:rsidRPr="0005414A" w:rsidRDefault="00E85AF4" w:rsidP="00E85AF4">
      <w:pPr>
        <w:pStyle w:val="a5"/>
        <w:shd w:val="clear" w:color="auto" w:fill="FFFFFF" w:themeFill="background1"/>
        <w:spacing w:after="0"/>
        <w:ind w:left="0" w:firstLine="708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3472FD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o-RO"/>
        </w:rPr>
        <w:t xml:space="preserve">Scopul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o-RO"/>
        </w:rPr>
        <w:t xml:space="preserve">instituirii </w:t>
      </w:r>
      <w:r w:rsidRPr="003D7851">
        <w:rPr>
          <w:rFonts w:ascii="Times New Roman" w:hAnsi="Times New Roman" w:cs="Times New Roman"/>
          <w:sz w:val="28"/>
          <w:szCs w:val="28"/>
          <w:lang w:val="ro-RO"/>
        </w:rPr>
        <w:t xml:space="preserve">Comisiei pentru dispozitive medicale 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ro-RO"/>
        </w:rPr>
        <w:t xml:space="preserve">constă în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a</w:t>
      </w:r>
      <w:r w:rsidRPr="003472FD">
        <w:rPr>
          <w:rFonts w:ascii="Times New Roman" w:hAnsi="Times New Roman" w:cs="Times New Roman"/>
          <w:bCs/>
          <w:sz w:val="28"/>
          <w:szCs w:val="28"/>
          <w:lang w:val="pt-BR"/>
        </w:rPr>
        <w:t>sigur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area </w:t>
      </w:r>
      <w:r w:rsidRPr="003472FD">
        <w:rPr>
          <w:rFonts w:ascii="Times New Roman" w:hAnsi="Times New Roman" w:cs="Times New Roman"/>
          <w:bCs/>
          <w:sz w:val="28"/>
          <w:szCs w:val="28"/>
          <w:lang w:val="pt-BR"/>
        </w:rPr>
        <w:t>desfăşur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ării </w:t>
      </w:r>
      <w:r w:rsidRPr="003472FD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investigaţi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ilor</w:t>
      </w:r>
      <w:r w:rsidRPr="003472FD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clinice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 dispozitivelor medicale </w:t>
      </w:r>
      <w:r w:rsidRPr="003472FD">
        <w:rPr>
          <w:rFonts w:ascii="Times New Roman" w:hAnsi="Times New Roman" w:cs="Times New Roman"/>
          <w:bCs/>
          <w:sz w:val="28"/>
          <w:szCs w:val="28"/>
          <w:lang w:val="pt-BR"/>
        </w:rPr>
        <w:t>în conformitate cu legislaţia în vigoare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în </w:t>
      </w:r>
      <w:r w:rsidRPr="003472FD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garanta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rea</w:t>
      </w:r>
      <w:r w:rsidRPr="003472FD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că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acestea </w:t>
      </w:r>
      <w:r w:rsidRPr="003472FD">
        <w:rPr>
          <w:rFonts w:ascii="Times New Roman" w:hAnsi="Times New Roman" w:cs="Times New Roman"/>
          <w:bCs/>
          <w:sz w:val="28"/>
          <w:szCs w:val="28"/>
          <w:lang w:val="pt-BR"/>
        </w:rPr>
        <w:t xml:space="preserve">respectă normele etice propuse în concordanţă cu prevederile Declaraţiei Universale a Drepturilor Omului revizuite şi cu Regulile pentru 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>Bună Practică în Studiul Clinic</w:t>
      </w:r>
      <w:r w:rsidRPr="003472FD">
        <w:rPr>
          <w:rFonts w:ascii="Times New Roman" w:hAnsi="Times New Roman" w:cs="Times New Roman"/>
          <w:bCs/>
          <w:sz w:val="28"/>
          <w:szCs w:val="28"/>
          <w:lang w:val="pt-BR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pt-BR"/>
        </w:rPr>
        <w:t xml:space="preserve"> Totodată, acest proiect va asigura promovarea dispozitivelor medicale ale cercetătorilor şi producătorilor autohtoni.</w:t>
      </w:r>
    </w:p>
    <w:p w:rsidR="00E85AF4" w:rsidRPr="003472FD" w:rsidRDefault="00E85AF4" w:rsidP="00E85AF4">
      <w:pPr>
        <w:pStyle w:val="a5"/>
        <w:shd w:val="clear" w:color="auto" w:fill="FFFFFF"/>
        <w:tabs>
          <w:tab w:val="left" w:pos="180"/>
        </w:tabs>
        <w:spacing w:after="0" w:line="360" w:lineRule="atLeast"/>
        <w:ind w:left="0" w:firstLine="567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E85AF4" w:rsidRPr="003472FD" w:rsidRDefault="00E85AF4" w:rsidP="00E85AF4">
      <w:pPr>
        <w:pStyle w:val="a5"/>
        <w:spacing w:after="0"/>
        <w:ind w:left="0" w:firstLine="701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3472FD">
        <w:rPr>
          <w:rFonts w:ascii="Times New Roman" w:hAnsi="Times New Roman" w:cs="Times New Roman"/>
          <w:b/>
          <w:i/>
          <w:sz w:val="28"/>
          <w:szCs w:val="28"/>
          <w:lang w:val="ro-RO"/>
        </w:rPr>
        <w:t>Principalele prevederi ale proiectului, locul în sistemul de acte normative</w:t>
      </w:r>
    </w:p>
    <w:p w:rsidR="00E85AF4" w:rsidRPr="003472FD" w:rsidRDefault="00E85AF4" w:rsidP="00E85AF4">
      <w:pPr>
        <w:pStyle w:val="a5"/>
        <w:spacing w:after="0"/>
        <w:ind w:left="0" w:firstLine="701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 Guvernului „</w:t>
      </w:r>
      <w:r w:rsidRPr="003D7851">
        <w:rPr>
          <w:rFonts w:ascii="Times New Roman" w:hAnsi="Times New Roman" w:cs="Times New Roman"/>
          <w:sz w:val="28"/>
          <w:szCs w:val="28"/>
          <w:lang w:val="ro-RO"/>
        </w:rPr>
        <w:t>Cu privire la C</w:t>
      </w:r>
      <w:r w:rsidRPr="003D7851">
        <w:rPr>
          <w:rFonts w:ascii="Times New Roman" w:hAnsi="Times New Roman" w:cs="Times New Roman"/>
          <w:bCs/>
          <w:noProof/>
          <w:sz w:val="28"/>
          <w:szCs w:val="28"/>
          <w:lang w:val="ro-MO"/>
        </w:rPr>
        <w:t>omisia pentru dispozitive medicale</w:t>
      </w:r>
      <w:r w:rsidRPr="003472FD">
        <w:rPr>
          <w:rFonts w:ascii="Times New Roman" w:hAnsi="Times New Roman" w:cs="Times New Roman"/>
          <w:sz w:val="28"/>
          <w:szCs w:val="28"/>
          <w:lang w:val="ro-RO"/>
        </w:rPr>
        <w:t>” este în strictă concordanţă cu acte legislative şi normative în vigoare: Legii ocrotirii sănătăţii nr. 411-XIII din 2</w:t>
      </w:r>
      <w:r>
        <w:rPr>
          <w:rFonts w:ascii="Times New Roman" w:hAnsi="Times New Roman" w:cs="Times New Roman"/>
          <w:sz w:val="28"/>
          <w:szCs w:val="28"/>
          <w:lang w:val="ro-RO"/>
        </w:rPr>
        <w:t>8</w:t>
      </w:r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 martie 1995</w:t>
      </w:r>
      <w:r w:rsidRPr="003472FD">
        <w:rPr>
          <w:rFonts w:ascii="Times New Roman" w:hAnsi="Times New Roman" w:cs="Times New Roman"/>
          <w:b/>
          <w:sz w:val="28"/>
          <w:szCs w:val="28"/>
          <w:lang w:val="ro-RO"/>
        </w:rPr>
        <w:t>,</w:t>
      </w:r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472FD">
        <w:rPr>
          <w:rFonts w:ascii="Times New Roman" w:hAnsi="Times New Roman" w:cs="Times New Roman"/>
          <w:caps/>
          <w:sz w:val="28"/>
          <w:szCs w:val="28"/>
          <w:lang w:val="ro-RO"/>
        </w:rPr>
        <w:t>L</w:t>
      </w:r>
      <w:r w:rsidRPr="003472FD">
        <w:rPr>
          <w:rFonts w:ascii="Times New Roman" w:hAnsi="Times New Roman" w:cs="Times New Roman"/>
          <w:sz w:val="28"/>
          <w:szCs w:val="28"/>
          <w:lang w:val="ro-RO"/>
        </w:rPr>
        <w:t>egii nr. 92 din 26 aprilie 2012 cu privire la dispozitivele medicale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E85AF4" w:rsidRPr="003472FD" w:rsidRDefault="00E85AF4" w:rsidP="00E85AF4">
      <w:pPr>
        <w:shd w:val="clear" w:color="auto" w:fill="FFFFFF"/>
        <w:ind w:firstLine="701"/>
        <w:rPr>
          <w:b/>
          <w:i/>
          <w:sz w:val="28"/>
          <w:szCs w:val="28"/>
          <w:lang w:val="ro-RO"/>
        </w:rPr>
      </w:pPr>
    </w:p>
    <w:p w:rsidR="00E85AF4" w:rsidRPr="003472FD" w:rsidRDefault="00E85AF4" w:rsidP="00E85AF4">
      <w:pPr>
        <w:shd w:val="clear" w:color="auto" w:fill="FFFFFF"/>
        <w:ind w:firstLine="701"/>
        <w:rPr>
          <w:b/>
          <w:i/>
          <w:sz w:val="28"/>
          <w:szCs w:val="28"/>
          <w:lang w:val="ro-RO"/>
        </w:rPr>
      </w:pPr>
      <w:r w:rsidRPr="003472FD">
        <w:rPr>
          <w:b/>
          <w:i/>
          <w:sz w:val="28"/>
          <w:szCs w:val="28"/>
          <w:lang w:val="ro-RO"/>
        </w:rPr>
        <w:lastRenderedPageBreak/>
        <w:t>Elementele novatorii ale proiectului şi rezultatele scontate</w:t>
      </w:r>
    </w:p>
    <w:p w:rsidR="00E85AF4" w:rsidRDefault="00E85AF4" w:rsidP="00E85AF4">
      <w:pPr>
        <w:shd w:val="clear" w:color="auto" w:fill="FFFFFF"/>
        <w:spacing w:line="326" w:lineRule="exact"/>
        <w:ind w:firstLine="701"/>
        <w:jc w:val="both"/>
        <w:rPr>
          <w:sz w:val="28"/>
          <w:szCs w:val="28"/>
          <w:lang w:val="ro-RO"/>
        </w:rPr>
      </w:pPr>
      <w:proofErr w:type="spellStart"/>
      <w:r w:rsidRPr="003472FD">
        <w:rPr>
          <w:sz w:val="28"/>
          <w:szCs w:val="28"/>
          <w:lang w:val="en-US"/>
        </w:rPr>
        <w:t>Odată</w:t>
      </w:r>
      <w:proofErr w:type="spellEnd"/>
      <w:r w:rsidRPr="003472FD">
        <w:rPr>
          <w:sz w:val="28"/>
          <w:szCs w:val="28"/>
          <w:lang w:val="en-US"/>
        </w:rPr>
        <w:t xml:space="preserve"> cu </w:t>
      </w:r>
      <w:r w:rsidRPr="003472FD">
        <w:rPr>
          <w:sz w:val="28"/>
          <w:szCs w:val="28"/>
          <w:lang w:val="ro-RO"/>
        </w:rPr>
        <w:t>aprobarea</w:t>
      </w:r>
      <w:r w:rsidRPr="003472FD">
        <w:rPr>
          <w:i/>
          <w:sz w:val="28"/>
          <w:szCs w:val="28"/>
          <w:lang w:val="ro-RO"/>
        </w:rPr>
        <w:t xml:space="preserve"> </w:t>
      </w:r>
      <w:r w:rsidRPr="003472FD">
        <w:rPr>
          <w:sz w:val="28"/>
          <w:szCs w:val="28"/>
          <w:lang w:val="ro-RO"/>
        </w:rPr>
        <w:t xml:space="preserve">proiectului </w:t>
      </w:r>
      <w:proofErr w:type="spellStart"/>
      <w:r w:rsidRPr="003472FD">
        <w:rPr>
          <w:sz w:val="28"/>
          <w:szCs w:val="28"/>
          <w:lang w:val="ro-RO"/>
        </w:rPr>
        <w:t>hotărîrii</w:t>
      </w:r>
      <w:proofErr w:type="spellEnd"/>
      <w:r w:rsidRPr="003472FD">
        <w:rPr>
          <w:sz w:val="28"/>
          <w:szCs w:val="28"/>
          <w:lang w:val="ro-RO"/>
        </w:rPr>
        <w:t xml:space="preserve"> Guvernului „</w:t>
      </w:r>
      <w:r w:rsidRPr="003D7851">
        <w:rPr>
          <w:sz w:val="28"/>
          <w:szCs w:val="28"/>
          <w:lang w:val="ro-RO"/>
        </w:rPr>
        <w:t>Cu privire la C</w:t>
      </w:r>
      <w:r w:rsidRPr="003D7851">
        <w:rPr>
          <w:bCs/>
          <w:noProof/>
          <w:sz w:val="28"/>
          <w:szCs w:val="28"/>
          <w:lang w:val="ro-MO"/>
        </w:rPr>
        <w:t>omisia pentru dispozitive medicale</w:t>
      </w:r>
      <w:r w:rsidRPr="003472FD">
        <w:rPr>
          <w:sz w:val="28"/>
          <w:szCs w:val="28"/>
          <w:lang w:val="ro-RO"/>
        </w:rPr>
        <w:t xml:space="preserve">” se </w:t>
      </w:r>
      <w:proofErr w:type="gramStart"/>
      <w:r w:rsidRPr="003472FD">
        <w:rPr>
          <w:sz w:val="28"/>
          <w:szCs w:val="28"/>
          <w:lang w:val="ro-RO"/>
        </w:rPr>
        <w:t>va</w:t>
      </w:r>
      <w:proofErr w:type="gramEnd"/>
      <w:r w:rsidRPr="003472FD">
        <w:rPr>
          <w:sz w:val="28"/>
          <w:szCs w:val="28"/>
          <w:lang w:val="ro-RO"/>
        </w:rPr>
        <w:t xml:space="preserve"> face posibilă punerea în aplicare a prevederilor </w:t>
      </w:r>
      <w:r>
        <w:rPr>
          <w:sz w:val="28"/>
          <w:szCs w:val="28"/>
          <w:lang w:val="ro-RO"/>
        </w:rPr>
        <w:t xml:space="preserve">alin. 3) art.8 al </w:t>
      </w:r>
      <w:r w:rsidRPr="003472FD">
        <w:rPr>
          <w:sz w:val="28"/>
          <w:szCs w:val="28"/>
          <w:lang w:val="ro-RO"/>
        </w:rPr>
        <w:t xml:space="preserve">Legii nr.92 din 26 aprilie 2012 cu privire la dispozitivele medicale. </w:t>
      </w:r>
    </w:p>
    <w:p w:rsidR="00E85AF4" w:rsidRPr="008B2C2A" w:rsidRDefault="00E85AF4" w:rsidP="00E85AF4">
      <w:pPr>
        <w:shd w:val="clear" w:color="auto" w:fill="FFFFFF"/>
        <w:spacing w:line="326" w:lineRule="exact"/>
        <w:ind w:firstLine="701"/>
        <w:jc w:val="both"/>
        <w:rPr>
          <w:sz w:val="28"/>
          <w:szCs w:val="28"/>
          <w:lang w:val="ro-RO"/>
        </w:rPr>
      </w:pPr>
      <w:r w:rsidRPr="008B2C2A">
        <w:rPr>
          <w:sz w:val="28"/>
          <w:szCs w:val="28"/>
          <w:lang w:val="ro-RO"/>
        </w:rPr>
        <w:t>În termeni practici, având în vedere cele două părţi principale interesate (persoana participantă şi medicul) în procesul investigaţiei clinice, găsim următoarele beneficii directe:</w:t>
      </w:r>
    </w:p>
    <w:p w:rsidR="00E85AF4" w:rsidRPr="003472FD" w:rsidRDefault="00E85AF4" w:rsidP="00E85A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fr-BE" w:eastAsia="en-US"/>
        </w:rPr>
      </w:pPr>
      <w:proofErr w:type="spellStart"/>
      <w:r w:rsidRPr="003472FD">
        <w:rPr>
          <w:rFonts w:ascii="Times New Roman" w:hAnsi="Times New Roman" w:cs="Times New Roman"/>
          <w:sz w:val="28"/>
          <w:szCs w:val="28"/>
          <w:lang w:val="fr-BE" w:eastAsia="en-US"/>
        </w:rPr>
        <w:t>siguranta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fr-BE" w:eastAsia="en-US"/>
        </w:rPr>
        <w:t xml:space="preserve"> si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fr-BE" w:eastAsia="en-US"/>
        </w:rPr>
        <w:t>confortul</w:t>
      </w:r>
      <w:proofErr w:type="spellEnd"/>
      <w:r>
        <w:rPr>
          <w:rFonts w:ascii="Times New Roman" w:hAnsi="Times New Roman" w:cs="Times New Roman"/>
          <w:sz w:val="28"/>
          <w:szCs w:val="28"/>
          <w:lang w:val="fr-BE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fr-BE" w:eastAsia="en-US"/>
        </w:rPr>
        <w:t>subiectilor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fr-BE" w:eastAsia="en-US"/>
        </w:rPr>
        <w:t xml:space="preserve"> care participă la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fr-BE" w:eastAsia="en-US"/>
        </w:rPr>
        <w:t>investigaţiile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fr-BE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fr-BE" w:eastAsia="en-US"/>
        </w:rPr>
        <w:t>clinice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fr-BE" w:eastAsia="en-US"/>
        </w:rPr>
        <w:t>;</w:t>
      </w:r>
    </w:p>
    <w:p w:rsidR="00E85AF4" w:rsidRPr="003472FD" w:rsidRDefault="00E85AF4" w:rsidP="00E85AF4">
      <w:pPr>
        <w:pStyle w:val="a5"/>
        <w:numPr>
          <w:ilvl w:val="0"/>
          <w:numId w:val="1"/>
        </w:numPr>
        <w:tabs>
          <w:tab w:val="left" w:pos="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asigurarea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respectării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drepturilor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omului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;</w:t>
      </w:r>
    </w:p>
    <w:p w:rsidR="00E85AF4" w:rsidRPr="003472FD" w:rsidRDefault="00E85AF4" w:rsidP="00E85A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72FD">
        <w:rPr>
          <w:rFonts w:ascii="Times New Roman" w:hAnsi="Times New Roman" w:cs="Times New Roman"/>
          <w:sz w:val="28"/>
          <w:szCs w:val="28"/>
          <w:lang w:val="ro-RO"/>
        </w:rPr>
        <w:t>protecţia participanţilor la un studiu clinic, care este asigurată printr-o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472FD">
        <w:rPr>
          <w:rFonts w:ascii="Times New Roman" w:hAnsi="Times New Roman" w:cs="Times New Roman"/>
          <w:sz w:val="28"/>
          <w:szCs w:val="28"/>
          <w:lang w:val="ro-RO"/>
        </w:rPr>
        <w:t>evaluare a riscurilor bazată pe rezultatele testărilor toxicologice prealabile oricărui studiu clinic, prin controlul exercitat de către Comisie şi autoritatea competentă;</w:t>
      </w:r>
    </w:p>
    <w:p w:rsidR="00E85AF4" w:rsidRPr="003472FD" w:rsidRDefault="00E85AF4" w:rsidP="00E85AF4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corectitudinea studiului clinic </w:t>
      </w:r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din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punct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stiintific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;</w:t>
      </w:r>
    </w:p>
    <w:p w:rsidR="00E85AF4" w:rsidRPr="003472FD" w:rsidRDefault="00E85AF4" w:rsidP="00E85AF4">
      <w:pPr>
        <w:pStyle w:val="a5"/>
        <w:numPr>
          <w:ilvl w:val="0"/>
          <w:numId w:val="1"/>
        </w:num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en-US" w:eastAsia="en-US"/>
        </w:rPr>
      </w:pP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responsabilitatea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medic</w:t>
      </w:r>
      <w:r w:rsidRPr="003472FD">
        <w:rPr>
          <w:rFonts w:ascii="Times New Roman" w:hAnsi="Times New Roman" w:cs="Times New Roman"/>
          <w:sz w:val="28"/>
          <w:szCs w:val="28"/>
          <w:lang w:val="ro-RO" w:eastAsia="en-US"/>
        </w:rPr>
        <w:t>ului</w:t>
      </w:r>
      <w:r>
        <w:rPr>
          <w:rFonts w:ascii="Times New Roman" w:hAnsi="Times New Roman" w:cs="Times New Roman"/>
          <w:sz w:val="28"/>
          <w:szCs w:val="28"/>
          <w:lang w:val="ro-RO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calificat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 în ceea ce priveşte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supravegherea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en-US"/>
        </w:rPr>
        <w:t>medicală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deciziile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medicale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luate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subiecţilor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;</w:t>
      </w:r>
    </w:p>
    <w:p w:rsidR="00E85AF4" w:rsidRPr="003472FD" w:rsidRDefault="00E85AF4" w:rsidP="00E85AF4">
      <w:pPr>
        <w:pStyle w:val="a5"/>
        <w:numPr>
          <w:ilvl w:val="0"/>
          <w:numId w:val="1"/>
        </w:numPr>
        <w:shd w:val="clear" w:color="auto" w:fill="FFFFFF"/>
        <w:tabs>
          <w:tab w:val="left" w:pos="180"/>
          <w:tab w:val="left" w:pos="990"/>
        </w:tabs>
        <w:spacing w:after="0" w:line="360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asigurarea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confidenţialităţii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înregistrărilor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, care pot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identifica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subiecţii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;</w:t>
      </w:r>
    </w:p>
    <w:p w:rsidR="00E85AF4" w:rsidRPr="003472FD" w:rsidRDefault="00E85AF4" w:rsidP="00E85AF4">
      <w:pPr>
        <w:pStyle w:val="a5"/>
        <w:numPr>
          <w:ilvl w:val="0"/>
          <w:numId w:val="1"/>
        </w:numPr>
        <w:shd w:val="clear" w:color="auto" w:fill="FFFFFF"/>
        <w:tabs>
          <w:tab w:val="left" w:pos="180"/>
        </w:tabs>
        <w:spacing w:after="0" w:line="360" w:lineRule="atLeast"/>
        <w:rPr>
          <w:rFonts w:ascii="Times New Roman" w:hAnsi="Times New Roman" w:cs="Times New Roman"/>
          <w:sz w:val="28"/>
          <w:szCs w:val="28"/>
          <w:lang w:val="en-US" w:eastAsia="en-US"/>
        </w:rPr>
      </w:pPr>
      <w:proofErr w:type="spellStart"/>
      <w:proofErr w:type="gram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folosirea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sistemelor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de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lucru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cu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proceduri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care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asigure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calitatea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fiecărui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aspect al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>studiului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en-US" w:eastAsia="en-US"/>
        </w:rPr>
        <w:t xml:space="preserve"> clinic.</w:t>
      </w:r>
    </w:p>
    <w:p w:rsidR="00E85AF4" w:rsidRPr="008B2C2A" w:rsidRDefault="00E85AF4" w:rsidP="00E85AF4">
      <w:pPr>
        <w:shd w:val="clear" w:color="auto" w:fill="FFFFFF"/>
        <w:spacing w:line="326" w:lineRule="exact"/>
        <w:ind w:firstLine="701"/>
        <w:jc w:val="both"/>
        <w:rPr>
          <w:sz w:val="28"/>
          <w:szCs w:val="28"/>
          <w:lang w:val="en-US"/>
        </w:rPr>
      </w:pPr>
    </w:p>
    <w:p w:rsidR="00E85AF4" w:rsidRPr="003472FD" w:rsidRDefault="00E85AF4" w:rsidP="00E85AF4">
      <w:pPr>
        <w:shd w:val="clear" w:color="auto" w:fill="FFFFFF"/>
        <w:ind w:firstLine="701"/>
        <w:jc w:val="both"/>
        <w:rPr>
          <w:b/>
          <w:i/>
          <w:sz w:val="28"/>
          <w:szCs w:val="28"/>
          <w:lang w:val="en-US"/>
        </w:rPr>
      </w:pPr>
      <w:r w:rsidRPr="003472FD">
        <w:rPr>
          <w:b/>
          <w:i/>
          <w:sz w:val="28"/>
          <w:szCs w:val="28"/>
          <w:lang w:val="ro-RO"/>
        </w:rPr>
        <w:t xml:space="preserve">Impactul proiectului asupra prevenirii/combaterii corupţiei şi criminalităţii </w:t>
      </w:r>
    </w:p>
    <w:p w:rsidR="00E85AF4" w:rsidRPr="003472FD" w:rsidRDefault="00E85AF4" w:rsidP="00E85AF4">
      <w:pPr>
        <w:shd w:val="clear" w:color="auto" w:fill="FFFFFF"/>
        <w:spacing w:line="331" w:lineRule="exact"/>
        <w:ind w:firstLine="701"/>
        <w:jc w:val="both"/>
        <w:rPr>
          <w:sz w:val="28"/>
          <w:szCs w:val="28"/>
          <w:lang w:val="ro-RO"/>
        </w:rPr>
      </w:pPr>
      <w:r w:rsidRPr="003472FD">
        <w:rPr>
          <w:sz w:val="28"/>
          <w:szCs w:val="28"/>
          <w:lang w:val="ro-RO"/>
        </w:rPr>
        <w:t>Implementarea în legislaţia naţională a reglementărilor europene în domeniul dispozitivelor medicale şi asigurarea transparenţei procesului de reglementare prin acte normative lipsite de ambiguitate şi uniformizate pentru spaţiul european sunt factori de prevenire a corupţiei şi criminalităţii.</w:t>
      </w:r>
    </w:p>
    <w:p w:rsidR="00E85AF4" w:rsidRPr="003472FD" w:rsidRDefault="00E85AF4" w:rsidP="00E85AF4">
      <w:pPr>
        <w:shd w:val="clear" w:color="auto" w:fill="FFFFFF"/>
        <w:spacing w:line="389" w:lineRule="exact"/>
        <w:ind w:firstLine="701"/>
        <w:jc w:val="both"/>
        <w:rPr>
          <w:b/>
          <w:sz w:val="28"/>
          <w:szCs w:val="28"/>
          <w:lang w:val="ro-RO"/>
        </w:rPr>
      </w:pPr>
    </w:p>
    <w:p w:rsidR="00E85AF4" w:rsidRPr="003472FD" w:rsidRDefault="00E85AF4" w:rsidP="00E85AF4">
      <w:pPr>
        <w:shd w:val="clear" w:color="auto" w:fill="FFFFFF"/>
        <w:spacing w:line="389" w:lineRule="exact"/>
        <w:ind w:firstLine="701"/>
        <w:jc w:val="both"/>
        <w:rPr>
          <w:b/>
          <w:i/>
          <w:sz w:val="28"/>
          <w:szCs w:val="28"/>
          <w:lang w:val="en-US"/>
        </w:rPr>
      </w:pPr>
      <w:r w:rsidRPr="003472FD">
        <w:rPr>
          <w:b/>
          <w:i/>
          <w:sz w:val="28"/>
          <w:szCs w:val="28"/>
          <w:lang w:val="ro-RO"/>
        </w:rPr>
        <w:t>Nivelul de compatibilitate a proiectului cu normele Convenţiei Europene privind protecţia drepturilor şi libertăţilor fundamentale ale omului şi legislaţiei comunitare</w:t>
      </w:r>
    </w:p>
    <w:p w:rsidR="00E85AF4" w:rsidRPr="003472FD" w:rsidRDefault="00E85AF4" w:rsidP="00E85AF4">
      <w:pPr>
        <w:shd w:val="clear" w:color="auto" w:fill="FFFFFF"/>
        <w:spacing w:line="326" w:lineRule="exact"/>
        <w:ind w:firstLine="701"/>
        <w:jc w:val="both"/>
        <w:rPr>
          <w:sz w:val="28"/>
          <w:szCs w:val="28"/>
          <w:lang w:val="en-US"/>
        </w:rPr>
      </w:pPr>
      <w:r w:rsidRPr="003472FD">
        <w:rPr>
          <w:sz w:val="28"/>
          <w:szCs w:val="28"/>
          <w:lang w:val="ro-RO"/>
        </w:rPr>
        <w:t>Proiectul prezentat respectă toate prevederile Convenţiei Europene privind protecţia drepturilor şi libertăţilor fundamentale ale omului precum fortifică unele şi alte convenţii</w:t>
      </w:r>
      <w:r w:rsidRPr="003472FD">
        <w:rPr>
          <w:sz w:val="28"/>
          <w:szCs w:val="28"/>
          <w:lang w:val="en-US"/>
        </w:rPr>
        <w:t xml:space="preserve"> </w:t>
      </w:r>
      <w:r w:rsidRPr="003472FD">
        <w:rPr>
          <w:sz w:val="28"/>
          <w:szCs w:val="28"/>
          <w:lang w:val="ro-RO"/>
        </w:rPr>
        <w:t>internaţionale, cum ar fi Declaraţia de la Helsinki, adoptată la cea de a 18-a Reuniune Medicală Mondială de la Helsinki, Finlanda, din 1964, astfel cum a fost modificată ultima dată de către Reuniunea Medicală Mondială.</w:t>
      </w:r>
    </w:p>
    <w:p w:rsidR="00E85AF4" w:rsidRDefault="00E85AF4" w:rsidP="00E85AF4">
      <w:pPr>
        <w:shd w:val="clear" w:color="auto" w:fill="FFFFFF"/>
        <w:ind w:firstLine="686"/>
        <w:jc w:val="both"/>
        <w:rPr>
          <w:sz w:val="28"/>
          <w:szCs w:val="28"/>
          <w:lang w:val="ro-RO"/>
        </w:rPr>
      </w:pPr>
    </w:p>
    <w:p w:rsidR="00E85AF4" w:rsidRPr="003472FD" w:rsidRDefault="00E85AF4" w:rsidP="00E85AF4">
      <w:pPr>
        <w:shd w:val="clear" w:color="auto" w:fill="FFFFFF"/>
        <w:ind w:firstLine="686"/>
        <w:jc w:val="both"/>
        <w:rPr>
          <w:b/>
          <w:i/>
          <w:sz w:val="28"/>
          <w:szCs w:val="28"/>
          <w:lang w:val="en-US"/>
        </w:rPr>
      </w:pPr>
      <w:r w:rsidRPr="003472FD">
        <w:rPr>
          <w:b/>
          <w:i/>
          <w:sz w:val="28"/>
          <w:szCs w:val="28"/>
          <w:lang w:val="ro-RO"/>
        </w:rPr>
        <w:t>Cuantumul mijloacelor bugetare necesare pentru implementarea proiectului</w:t>
      </w:r>
    </w:p>
    <w:p w:rsidR="00E85AF4" w:rsidRPr="003472FD" w:rsidRDefault="00E85AF4" w:rsidP="00E85AF4">
      <w:pPr>
        <w:shd w:val="clear" w:color="auto" w:fill="FFFFFF"/>
        <w:spacing w:line="331" w:lineRule="exact"/>
        <w:ind w:firstLine="686"/>
        <w:jc w:val="both"/>
        <w:rPr>
          <w:sz w:val="28"/>
          <w:szCs w:val="28"/>
          <w:lang w:val="ro-RO"/>
        </w:rPr>
      </w:pPr>
      <w:r w:rsidRPr="003472FD">
        <w:rPr>
          <w:sz w:val="28"/>
          <w:szCs w:val="28"/>
          <w:lang w:val="ro-RO"/>
        </w:rPr>
        <w:t>Adoptarea şi implementarea ulterioară a proiectului nu necesită surse financiare din bugetul statului.</w:t>
      </w:r>
      <w:r>
        <w:rPr>
          <w:sz w:val="28"/>
          <w:szCs w:val="28"/>
          <w:lang w:val="ro-RO"/>
        </w:rPr>
        <w:t xml:space="preserve"> </w:t>
      </w:r>
      <w:r w:rsidRPr="003472FD">
        <w:rPr>
          <w:sz w:val="28"/>
          <w:szCs w:val="28"/>
          <w:lang w:val="ro-RO"/>
        </w:rPr>
        <w:t xml:space="preserve">Costurile financiare aferente acestor activităţi vor </w:t>
      </w:r>
      <w:r w:rsidRPr="003472FD">
        <w:rPr>
          <w:sz w:val="28"/>
          <w:szCs w:val="28"/>
          <w:lang w:val="ro-RO"/>
        </w:rPr>
        <w:lastRenderedPageBreak/>
        <w:t>fi acoperite din mijloacele financiare alocate din partea sponsorilor/producătorilor.</w:t>
      </w:r>
    </w:p>
    <w:p w:rsidR="00E85AF4" w:rsidRPr="003472FD" w:rsidRDefault="00E85AF4" w:rsidP="00E85AF4">
      <w:pPr>
        <w:jc w:val="both"/>
        <w:rPr>
          <w:sz w:val="28"/>
          <w:szCs w:val="28"/>
          <w:lang w:val="ro-RO"/>
        </w:rPr>
      </w:pPr>
    </w:p>
    <w:p w:rsidR="00E85AF4" w:rsidRPr="003472FD" w:rsidRDefault="00E85AF4" w:rsidP="00E85AF4">
      <w:pPr>
        <w:shd w:val="clear" w:color="auto" w:fill="FFFFFF"/>
        <w:spacing w:line="384" w:lineRule="exact"/>
        <w:ind w:firstLine="686"/>
        <w:jc w:val="both"/>
        <w:rPr>
          <w:b/>
          <w:i/>
          <w:sz w:val="28"/>
          <w:szCs w:val="28"/>
          <w:lang w:val="en-US"/>
        </w:rPr>
      </w:pPr>
      <w:r w:rsidRPr="003472FD">
        <w:rPr>
          <w:b/>
          <w:i/>
          <w:sz w:val="28"/>
          <w:szCs w:val="28"/>
          <w:lang w:val="ro-RO"/>
        </w:rPr>
        <w:t>Obiecţiile, recomandările şi evaluările pe marginea proiectului în cauză înaintate de către instituţiile interesate şi concluziile acestora</w:t>
      </w:r>
    </w:p>
    <w:p w:rsidR="00E85AF4" w:rsidRPr="003472FD" w:rsidRDefault="00E85AF4" w:rsidP="00E85AF4">
      <w:pPr>
        <w:pStyle w:val="a5"/>
        <w:spacing w:after="0"/>
        <w:ind w:left="0" w:firstLine="52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Grupul de lucru a </w:t>
      </w:r>
      <w:r w:rsidRPr="00B20E1F">
        <w:rPr>
          <w:rFonts w:ascii="Times New Roman" w:hAnsi="Times New Roman" w:cs="Times New Roman"/>
          <w:sz w:val="28"/>
          <w:szCs w:val="28"/>
          <w:lang w:val="ro-RO"/>
        </w:rPr>
        <w:t xml:space="preserve">Ministerului Sănătăţii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elaborarea proiectului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 de Guvern „</w:t>
      </w:r>
      <w:r w:rsidRPr="00B20E1F">
        <w:rPr>
          <w:rFonts w:ascii="Times New Roman" w:hAnsi="Times New Roman" w:cs="Times New Roman"/>
          <w:sz w:val="28"/>
          <w:szCs w:val="28"/>
          <w:lang w:val="ro-RO"/>
        </w:rPr>
        <w:t>Cu privire la C</w:t>
      </w:r>
      <w:r w:rsidRPr="00B20E1F">
        <w:rPr>
          <w:rFonts w:ascii="Times New Roman" w:hAnsi="Times New Roman" w:cs="Times New Roman"/>
          <w:bCs/>
          <w:noProof/>
          <w:sz w:val="28"/>
          <w:szCs w:val="28"/>
          <w:lang w:val="ro-MO"/>
        </w:rPr>
        <w:t>omisia pentru dispozitive medicale”</w:t>
      </w:r>
      <w:r>
        <w:rPr>
          <w:rFonts w:ascii="Times New Roman" w:hAnsi="Times New Roman" w:cs="Times New Roman"/>
          <w:bCs/>
          <w:noProof/>
          <w:sz w:val="28"/>
          <w:szCs w:val="28"/>
          <w:lang w:val="ro-MO"/>
        </w:rPr>
        <w:t xml:space="preserve"> a </w:t>
      </w:r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analizat practica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statelor europene la acest capitol. </w:t>
      </w:r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proofErr w:type="spellStart"/>
      <w:r w:rsidRPr="003472FD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 de Guvern </w:t>
      </w:r>
      <w:r>
        <w:rPr>
          <w:rFonts w:ascii="Times New Roman" w:hAnsi="Times New Roman" w:cs="Times New Roman"/>
          <w:sz w:val="28"/>
          <w:szCs w:val="28"/>
          <w:lang w:val="ro-RO"/>
        </w:rPr>
        <w:t>este propus spre</w:t>
      </w:r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 aviza</w:t>
      </w:r>
      <w:r>
        <w:rPr>
          <w:rFonts w:ascii="Times New Roman" w:hAnsi="Times New Roman" w:cs="Times New Roman"/>
          <w:sz w:val="28"/>
          <w:szCs w:val="28"/>
          <w:lang w:val="ro-RO"/>
        </w:rPr>
        <w:t>re</w:t>
      </w:r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 autorităţil</w:t>
      </w:r>
      <w:r>
        <w:rPr>
          <w:rFonts w:ascii="Times New Roman" w:hAnsi="Times New Roman" w:cs="Times New Roman"/>
          <w:sz w:val="28"/>
          <w:szCs w:val="28"/>
          <w:lang w:val="ro-RO"/>
        </w:rPr>
        <w:t>or</w:t>
      </w:r>
      <w:r w:rsidRPr="003472FD">
        <w:rPr>
          <w:rFonts w:ascii="Times New Roman" w:hAnsi="Times New Roman" w:cs="Times New Roman"/>
          <w:sz w:val="28"/>
          <w:szCs w:val="28"/>
          <w:lang w:val="ro-RO"/>
        </w:rPr>
        <w:t xml:space="preserve"> administraţiei publice centrale şi instituţiilor interesate.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Propunerile şi obiecţiile se vor lua în consideraţie la definitivarea proiectului. </w:t>
      </w:r>
    </w:p>
    <w:p w:rsidR="00E85AF4" w:rsidRPr="003472FD" w:rsidRDefault="00E85AF4" w:rsidP="00E85AF4">
      <w:pPr>
        <w:shd w:val="clear" w:color="auto" w:fill="FFFFFF"/>
        <w:spacing w:line="322" w:lineRule="exact"/>
        <w:ind w:firstLine="691"/>
        <w:jc w:val="both"/>
        <w:rPr>
          <w:sz w:val="28"/>
          <w:szCs w:val="28"/>
          <w:lang w:val="ro-RO"/>
        </w:rPr>
      </w:pPr>
      <w:r w:rsidRPr="003472FD">
        <w:rPr>
          <w:sz w:val="28"/>
          <w:szCs w:val="28"/>
          <w:lang w:val="ro-RO"/>
        </w:rPr>
        <w:t xml:space="preserve">Proiectul a fost </w:t>
      </w:r>
      <w:r>
        <w:rPr>
          <w:sz w:val="28"/>
          <w:szCs w:val="28"/>
          <w:lang w:val="ro-RO"/>
        </w:rPr>
        <w:t xml:space="preserve">concomitent </w:t>
      </w:r>
      <w:r w:rsidRPr="003472FD">
        <w:rPr>
          <w:sz w:val="28"/>
          <w:szCs w:val="28"/>
          <w:lang w:val="ro-RO"/>
        </w:rPr>
        <w:t>plasat pe pagina web a Ministerului Sănă</w:t>
      </w:r>
      <w:r>
        <w:rPr>
          <w:sz w:val="28"/>
          <w:szCs w:val="28"/>
          <w:lang w:val="ro-RO"/>
        </w:rPr>
        <w:t xml:space="preserve">tăţii pentru consultări publice: </w:t>
      </w:r>
      <w:hyperlink w:history="1">
        <w:r w:rsidRPr="00FA79EC">
          <w:rPr>
            <w:rStyle w:val="a9"/>
            <w:szCs w:val="28"/>
            <w:lang w:val="ro-RO"/>
          </w:rPr>
          <w:t xml:space="preserve">www.ms.gov.md </w:t>
        </w:r>
        <w:proofErr w:type="spellStart"/>
        <w:r w:rsidRPr="00FA79EC">
          <w:rPr>
            <w:rStyle w:val="a9"/>
            <w:szCs w:val="28"/>
            <w:lang w:val="ro-RO"/>
          </w:rPr>
          <w:t>-legislaţie</w:t>
        </w:r>
        <w:proofErr w:type="spellEnd"/>
      </w:hyperlink>
      <w:r>
        <w:rPr>
          <w:sz w:val="28"/>
          <w:szCs w:val="28"/>
          <w:lang w:val="ro-RO"/>
        </w:rPr>
        <w:t xml:space="preserve"> – transparenţă decizională </w:t>
      </w:r>
      <w:proofErr w:type="spellStart"/>
      <w:r>
        <w:rPr>
          <w:sz w:val="28"/>
          <w:szCs w:val="28"/>
          <w:lang w:val="ro-RO"/>
        </w:rPr>
        <w:t>-modulul</w:t>
      </w:r>
      <w:proofErr w:type="spellEnd"/>
      <w:r>
        <w:rPr>
          <w:sz w:val="28"/>
          <w:szCs w:val="28"/>
          <w:lang w:val="ro-RO"/>
        </w:rPr>
        <w:t xml:space="preserve"> de participare</w:t>
      </w:r>
      <w:r w:rsidRPr="003472FD">
        <w:rPr>
          <w:sz w:val="28"/>
          <w:szCs w:val="28"/>
          <w:lang w:val="ro-RO"/>
        </w:rPr>
        <w:t>.</w:t>
      </w:r>
    </w:p>
    <w:p w:rsidR="00E85AF4" w:rsidRDefault="00E85AF4" w:rsidP="00E85AF4">
      <w:pPr>
        <w:shd w:val="clear" w:color="auto" w:fill="FFFFFF"/>
        <w:ind w:firstLine="691"/>
        <w:rPr>
          <w:b/>
          <w:i/>
          <w:sz w:val="28"/>
          <w:szCs w:val="28"/>
          <w:lang w:val="ro-RO"/>
        </w:rPr>
      </w:pPr>
    </w:p>
    <w:p w:rsidR="00E85AF4" w:rsidRPr="003472FD" w:rsidRDefault="00E85AF4" w:rsidP="00E85AF4">
      <w:pPr>
        <w:shd w:val="clear" w:color="auto" w:fill="FFFFFF"/>
        <w:ind w:firstLine="691"/>
        <w:rPr>
          <w:b/>
          <w:i/>
          <w:sz w:val="28"/>
          <w:szCs w:val="28"/>
          <w:lang w:val="en-US"/>
        </w:rPr>
      </w:pPr>
      <w:r w:rsidRPr="003472FD">
        <w:rPr>
          <w:b/>
          <w:i/>
          <w:sz w:val="28"/>
          <w:szCs w:val="28"/>
          <w:lang w:val="ro-RO"/>
        </w:rPr>
        <w:t>Acţiuni ulterioare adoptării proiectului</w:t>
      </w:r>
    </w:p>
    <w:p w:rsidR="00E85AF4" w:rsidRPr="003472FD" w:rsidRDefault="00E85AF4" w:rsidP="00E85AF4">
      <w:pPr>
        <w:shd w:val="clear" w:color="auto" w:fill="FFFFFF"/>
        <w:spacing w:line="331" w:lineRule="exact"/>
        <w:ind w:firstLine="696"/>
        <w:jc w:val="both"/>
        <w:rPr>
          <w:sz w:val="28"/>
          <w:szCs w:val="28"/>
          <w:lang w:val="en-US"/>
        </w:rPr>
      </w:pPr>
      <w:r w:rsidRPr="003472FD">
        <w:rPr>
          <w:sz w:val="28"/>
          <w:szCs w:val="28"/>
          <w:lang w:val="ro-RO"/>
        </w:rPr>
        <w:t>Ulterior adoptării proiectului vor fi elaborate ordine ale Ministerului Sănătăţii şi/sau ale Agenţiei Medicamentului şi Dispozitivelor Medicale, pentru implementarea procedurilor administrative de punere în aplicare a prevederilor prezentului proiect.</w:t>
      </w:r>
    </w:p>
    <w:p w:rsidR="00E85AF4" w:rsidRDefault="00E85AF4" w:rsidP="00E85AF4">
      <w:pPr>
        <w:ind w:firstLine="567"/>
        <w:jc w:val="both"/>
        <w:rPr>
          <w:sz w:val="28"/>
          <w:szCs w:val="28"/>
          <w:lang w:val="en-US"/>
        </w:rPr>
      </w:pPr>
    </w:p>
    <w:p w:rsidR="00E85AF4" w:rsidRDefault="00E85AF4" w:rsidP="00E85AF4">
      <w:pPr>
        <w:ind w:firstLine="567"/>
        <w:jc w:val="center"/>
        <w:rPr>
          <w:sz w:val="28"/>
          <w:szCs w:val="28"/>
          <w:lang w:val="en-US"/>
        </w:rPr>
      </w:pPr>
    </w:p>
    <w:p w:rsidR="00E85AF4" w:rsidRPr="003472FD" w:rsidRDefault="00E85AF4" w:rsidP="00E85AF4">
      <w:pPr>
        <w:ind w:firstLine="567"/>
        <w:jc w:val="center"/>
        <w:rPr>
          <w:b/>
          <w:sz w:val="28"/>
          <w:szCs w:val="28"/>
          <w:lang w:val="ro-RO"/>
        </w:rPr>
      </w:pPr>
      <w:r w:rsidRPr="003472FD">
        <w:rPr>
          <w:b/>
          <w:sz w:val="28"/>
          <w:szCs w:val="28"/>
          <w:lang w:val="ro-RO"/>
        </w:rPr>
        <w:t>Ministru                                                           Andrei USATÎI</w:t>
      </w:r>
    </w:p>
    <w:p w:rsidR="00F872D6" w:rsidRDefault="00F872D6" w:rsidP="00D10F7E">
      <w:pPr>
        <w:rPr>
          <w:lang w:val="en-US"/>
        </w:rPr>
      </w:pPr>
    </w:p>
    <w:p w:rsidR="00F872D6" w:rsidRPr="00D10F7E" w:rsidRDefault="00F872D6" w:rsidP="00F2056D">
      <w:pPr>
        <w:spacing w:after="200" w:line="276" w:lineRule="auto"/>
        <w:rPr>
          <w:lang w:val="en-US"/>
        </w:rPr>
      </w:pPr>
    </w:p>
    <w:sectPr w:rsidR="00F872D6" w:rsidRPr="00D10F7E" w:rsidSect="00D10F7E">
      <w:pgSz w:w="11907" w:h="16839" w:code="9"/>
      <w:pgMar w:top="1134" w:right="99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17F49"/>
    <w:multiLevelType w:val="hybridMultilevel"/>
    <w:tmpl w:val="AEC8DB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D2A48"/>
    <w:multiLevelType w:val="hybridMultilevel"/>
    <w:tmpl w:val="ABF0C5F2"/>
    <w:lvl w:ilvl="0" w:tplc="04090011">
      <w:start w:val="1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BF1E8700">
      <w:start w:val="1"/>
      <w:numFmt w:val="lowerLetter"/>
      <w:lvlText w:val="%2)"/>
      <w:lvlJc w:val="left"/>
      <w:pPr>
        <w:ind w:left="1648" w:hanging="360"/>
      </w:pPr>
      <w:rPr>
        <w:rFonts w:ascii="TimesNewRomanPS-BoldMT" w:eastAsia="Times New Roman" w:hAnsi="TimesNewRomanPS-BoldMT" w:cs="TimesNewRomanPS-BoldMT"/>
        <w:color w:val="auto"/>
      </w:rPr>
    </w:lvl>
    <w:lvl w:ilvl="2" w:tplc="F03A7AAE">
      <w:start w:val="1"/>
      <w:numFmt w:val="lowerLetter"/>
      <w:lvlText w:val="%3)"/>
      <w:lvlJc w:val="left"/>
      <w:pPr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C2B1D12"/>
    <w:multiLevelType w:val="hybridMultilevel"/>
    <w:tmpl w:val="005E9694"/>
    <w:lvl w:ilvl="0" w:tplc="2BB8B760">
      <w:start w:val="1"/>
      <w:numFmt w:val="decimal"/>
      <w:lvlText w:val="%1."/>
      <w:lvlJc w:val="left"/>
      <w:pPr>
        <w:ind w:left="928" w:hanging="360"/>
      </w:pPr>
      <w:rPr>
        <w:rFonts w:ascii="Times New Roman" w:eastAsia="TimesNewRomanPS-BoldMT" w:hAnsi="Times New Roman" w:cs="Times New Roman"/>
        <w:b w:val="0"/>
        <w:sz w:val="28"/>
        <w:szCs w:val="28"/>
        <w:lang w:val="ro-RO"/>
      </w:rPr>
    </w:lvl>
    <w:lvl w:ilvl="1" w:tplc="04090011">
      <w:start w:val="1"/>
      <w:numFmt w:val="decimal"/>
      <w:lvlText w:val="%2)"/>
      <w:lvlJc w:val="left"/>
      <w:pPr>
        <w:ind w:left="1572" w:hanging="720"/>
      </w:pPr>
      <w:rPr>
        <w:color w:val="auto"/>
      </w:rPr>
    </w:lvl>
    <w:lvl w:ilvl="2" w:tplc="2FA4ED38">
      <w:start w:val="10"/>
      <w:numFmt w:val="lowerLetter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FDDED360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C3887"/>
    <w:multiLevelType w:val="hybridMultilevel"/>
    <w:tmpl w:val="C2A4B48E"/>
    <w:lvl w:ilvl="0" w:tplc="2BB8B760">
      <w:start w:val="1"/>
      <w:numFmt w:val="decimal"/>
      <w:lvlText w:val="%1."/>
      <w:lvlJc w:val="left"/>
      <w:pPr>
        <w:ind w:left="928" w:hanging="360"/>
      </w:pPr>
      <w:rPr>
        <w:rFonts w:ascii="Times New Roman" w:eastAsia="TimesNewRomanPS-BoldMT" w:hAnsi="Times New Roman" w:cs="Times New Roman"/>
        <w:b w:val="0"/>
        <w:sz w:val="28"/>
        <w:szCs w:val="28"/>
        <w:lang w:val="ro-RO"/>
      </w:rPr>
    </w:lvl>
    <w:lvl w:ilvl="1" w:tplc="04090011">
      <w:start w:val="1"/>
      <w:numFmt w:val="decimal"/>
      <w:lvlText w:val="%2)"/>
      <w:lvlJc w:val="left"/>
      <w:pPr>
        <w:ind w:left="1572" w:hanging="720"/>
      </w:pPr>
      <w:rPr>
        <w:color w:val="auto"/>
      </w:rPr>
    </w:lvl>
    <w:lvl w:ilvl="2" w:tplc="2FA4ED38">
      <w:start w:val="10"/>
      <w:numFmt w:val="lowerLetter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FDDED360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EC523E"/>
    <w:multiLevelType w:val="hybridMultilevel"/>
    <w:tmpl w:val="A330DEFC"/>
    <w:lvl w:ilvl="0" w:tplc="2BB8B760">
      <w:start w:val="1"/>
      <w:numFmt w:val="decimal"/>
      <w:lvlText w:val="%1."/>
      <w:lvlJc w:val="left"/>
      <w:pPr>
        <w:ind w:left="928" w:hanging="360"/>
      </w:pPr>
      <w:rPr>
        <w:rFonts w:ascii="Times New Roman" w:eastAsia="TimesNewRomanPS-BoldMT" w:hAnsi="Times New Roman" w:cs="Times New Roman"/>
        <w:b w:val="0"/>
        <w:sz w:val="28"/>
        <w:szCs w:val="28"/>
        <w:lang w:val="ro-RO"/>
      </w:rPr>
    </w:lvl>
    <w:lvl w:ilvl="1" w:tplc="302ECE98">
      <w:start w:val="1"/>
      <w:numFmt w:val="lowerLetter"/>
      <w:lvlText w:val="%2)"/>
      <w:lvlJc w:val="left"/>
      <w:pPr>
        <w:ind w:left="1572" w:hanging="720"/>
      </w:pPr>
      <w:rPr>
        <w:rFonts w:ascii="Times New Roman" w:eastAsia="Times New Roman" w:hAnsi="Times New Roman" w:cs="Times New Roman"/>
        <w:color w:val="auto"/>
      </w:rPr>
    </w:lvl>
    <w:lvl w:ilvl="2" w:tplc="2FA4ED38">
      <w:start w:val="10"/>
      <w:numFmt w:val="lowerLetter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E1037"/>
    <w:multiLevelType w:val="hybridMultilevel"/>
    <w:tmpl w:val="781AF6F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577586C"/>
    <w:multiLevelType w:val="hybridMultilevel"/>
    <w:tmpl w:val="FD066966"/>
    <w:lvl w:ilvl="0" w:tplc="16041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73B09"/>
    <w:multiLevelType w:val="hybridMultilevel"/>
    <w:tmpl w:val="B1B885EC"/>
    <w:lvl w:ilvl="0" w:tplc="20B8824C">
      <w:start w:val="1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BF1E8700">
      <w:start w:val="1"/>
      <w:numFmt w:val="lowerLetter"/>
      <w:lvlText w:val="%2)"/>
      <w:lvlJc w:val="left"/>
      <w:pPr>
        <w:ind w:left="1648" w:hanging="360"/>
      </w:pPr>
      <w:rPr>
        <w:rFonts w:ascii="TimesNewRomanPS-BoldMT" w:eastAsia="Times New Roman" w:hAnsi="TimesNewRomanPS-BoldMT" w:cs="TimesNewRomanPS-BoldMT"/>
        <w:color w:val="auto"/>
      </w:rPr>
    </w:lvl>
    <w:lvl w:ilvl="2" w:tplc="F03A7AAE">
      <w:start w:val="1"/>
      <w:numFmt w:val="lowerLetter"/>
      <w:lvlText w:val="%3)"/>
      <w:lvlJc w:val="left"/>
      <w:pPr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EE05D5B"/>
    <w:multiLevelType w:val="hybridMultilevel"/>
    <w:tmpl w:val="5FEEA3B4"/>
    <w:lvl w:ilvl="0" w:tplc="04090011">
      <w:start w:val="1"/>
      <w:numFmt w:val="decimal"/>
      <w:lvlText w:val="%1)"/>
      <w:lvlJc w:val="left"/>
      <w:pPr>
        <w:ind w:left="943" w:hanging="375"/>
      </w:pPr>
      <w:rPr>
        <w:rFonts w:hint="default"/>
      </w:rPr>
    </w:lvl>
    <w:lvl w:ilvl="1" w:tplc="BF1E8700">
      <w:start w:val="1"/>
      <w:numFmt w:val="lowerLetter"/>
      <w:lvlText w:val="%2)"/>
      <w:lvlJc w:val="left"/>
      <w:pPr>
        <w:ind w:left="1648" w:hanging="360"/>
      </w:pPr>
      <w:rPr>
        <w:rFonts w:ascii="TimesNewRomanPS-BoldMT" w:eastAsia="Times New Roman" w:hAnsi="TimesNewRomanPS-BoldMT" w:cs="TimesNewRomanPS-BoldMT"/>
        <w:color w:val="auto"/>
      </w:rPr>
    </w:lvl>
    <w:lvl w:ilvl="2" w:tplc="F03A7AAE">
      <w:start w:val="1"/>
      <w:numFmt w:val="lowerLetter"/>
      <w:lvlText w:val="%3)"/>
      <w:lvlJc w:val="left"/>
      <w:pPr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55D47440"/>
    <w:multiLevelType w:val="hybridMultilevel"/>
    <w:tmpl w:val="48D0D3CA"/>
    <w:lvl w:ilvl="0" w:tplc="2BB8B760">
      <w:start w:val="1"/>
      <w:numFmt w:val="decimal"/>
      <w:lvlText w:val="%1."/>
      <w:lvlJc w:val="left"/>
      <w:pPr>
        <w:ind w:left="928" w:hanging="360"/>
      </w:pPr>
      <w:rPr>
        <w:rFonts w:ascii="Times New Roman" w:eastAsia="TimesNewRomanPS-BoldMT" w:hAnsi="Times New Roman" w:cs="Times New Roman"/>
        <w:b w:val="0"/>
        <w:sz w:val="28"/>
        <w:szCs w:val="28"/>
        <w:lang w:val="ro-RO"/>
      </w:rPr>
    </w:lvl>
    <w:lvl w:ilvl="1" w:tplc="04090011">
      <w:start w:val="1"/>
      <w:numFmt w:val="decimal"/>
      <w:lvlText w:val="%2)"/>
      <w:lvlJc w:val="left"/>
      <w:pPr>
        <w:ind w:left="1572" w:hanging="720"/>
      </w:pPr>
      <w:rPr>
        <w:color w:val="auto"/>
      </w:rPr>
    </w:lvl>
    <w:lvl w:ilvl="2" w:tplc="2FA4ED38">
      <w:start w:val="10"/>
      <w:numFmt w:val="lowerLetter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FDDED360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800CBD1C">
      <w:start w:val="40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C11EA6"/>
    <w:multiLevelType w:val="hybridMultilevel"/>
    <w:tmpl w:val="9112F358"/>
    <w:lvl w:ilvl="0" w:tplc="04F8D7DA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21"/>
        </w:tabs>
        <w:ind w:left="16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1"/>
        </w:tabs>
        <w:ind w:left="234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1"/>
        </w:tabs>
        <w:ind w:left="378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1"/>
        </w:tabs>
        <w:ind w:left="450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1"/>
        </w:tabs>
        <w:ind w:left="594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1"/>
        </w:tabs>
        <w:ind w:left="6661" w:hanging="360"/>
      </w:pPr>
    </w:lvl>
  </w:abstractNum>
  <w:abstractNum w:abstractNumId="11">
    <w:nsid w:val="69330504"/>
    <w:multiLevelType w:val="hybridMultilevel"/>
    <w:tmpl w:val="17127786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D9F2AC7"/>
    <w:multiLevelType w:val="hybridMultilevel"/>
    <w:tmpl w:val="475C1C60"/>
    <w:lvl w:ilvl="0" w:tplc="2BB8B760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PS-BoldMT" w:hAnsi="Times New Roman" w:cs="Times New Roman"/>
        <w:b w:val="0"/>
        <w:sz w:val="28"/>
        <w:szCs w:val="28"/>
        <w:lang w:val="ro-RO"/>
      </w:rPr>
    </w:lvl>
    <w:lvl w:ilvl="1" w:tplc="302ECE98">
      <w:start w:val="1"/>
      <w:numFmt w:val="lowerLetter"/>
      <w:lvlText w:val="%2)"/>
      <w:lvlJc w:val="left"/>
      <w:pPr>
        <w:ind w:left="1572" w:hanging="720"/>
      </w:pPr>
      <w:rPr>
        <w:rFonts w:ascii="Times New Roman" w:eastAsia="Times New Roman" w:hAnsi="Times New Roman" w:cs="Times New Roman"/>
        <w:color w:val="auto"/>
      </w:rPr>
    </w:lvl>
    <w:lvl w:ilvl="2" w:tplc="2FA4ED38">
      <w:start w:val="10"/>
      <w:numFmt w:val="lowerLetter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FDDED360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9463C2"/>
    <w:multiLevelType w:val="hybridMultilevel"/>
    <w:tmpl w:val="B6B25882"/>
    <w:lvl w:ilvl="0" w:tplc="2BB8B760">
      <w:start w:val="1"/>
      <w:numFmt w:val="decimal"/>
      <w:lvlText w:val="%1."/>
      <w:lvlJc w:val="left"/>
      <w:pPr>
        <w:ind w:left="928" w:hanging="360"/>
      </w:pPr>
      <w:rPr>
        <w:rFonts w:ascii="Times New Roman" w:eastAsia="TimesNewRomanPS-BoldMT" w:hAnsi="Times New Roman" w:cs="Times New Roman"/>
        <w:b w:val="0"/>
        <w:sz w:val="28"/>
        <w:szCs w:val="28"/>
        <w:lang w:val="ro-RO"/>
      </w:rPr>
    </w:lvl>
    <w:lvl w:ilvl="1" w:tplc="04090011">
      <w:start w:val="1"/>
      <w:numFmt w:val="decimal"/>
      <w:lvlText w:val="%2)"/>
      <w:lvlJc w:val="left"/>
      <w:pPr>
        <w:ind w:left="1572" w:hanging="720"/>
      </w:pPr>
      <w:rPr>
        <w:color w:val="auto"/>
      </w:rPr>
    </w:lvl>
    <w:lvl w:ilvl="2" w:tplc="2FA4ED38">
      <w:start w:val="10"/>
      <w:numFmt w:val="lowerLetter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FDDED360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13"/>
  </w:num>
  <w:num w:numId="9">
    <w:abstractNumId w:val="3"/>
  </w:num>
  <w:num w:numId="10">
    <w:abstractNumId w:val="4"/>
  </w:num>
  <w:num w:numId="11">
    <w:abstractNumId w:val="0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10F7E"/>
    <w:rsid w:val="00095F09"/>
    <w:rsid w:val="000D6789"/>
    <w:rsid w:val="00145A75"/>
    <w:rsid w:val="001636D3"/>
    <w:rsid w:val="00186069"/>
    <w:rsid w:val="00190511"/>
    <w:rsid w:val="00192FE1"/>
    <w:rsid w:val="001C0BCC"/>
    <w:rsid w:val="001E6261"/>
    <w:rsid w:val="001F4992"/>
    <w:rsid w:val="00216C90"/>
    <w:rsid w:val="00226898"/>
    <w:rsid w:val="00267884"/>
    <w:rsid w:val="00277E9A"/>
    <w:rsid w:val="002A2C13"/>
    <w:rsid w:val="002D559D"/>
    <w:rsid w:val="00320228"/>
    <w:rsid w:val="00343CCE"/>
    <w:rsid w:val="003C7815"/>
    <w:rsid w:val="003E06B8"/>
    <w:rsid w:val="003E486F"/>
    <w:rsid w:val="003F12B7"/>
    <w:rsid w:val="003F3158"/>
    <w:rsid w:val="004232F5"/>
    <w:rsid w:val="00451EC3"/>
    <w:rsid w:val="004B404F"/>
    <w:rsid w:val="004C4877"/>
    <w:rsid w:val="004D2113"/>
    <w:rsid w:val="005110A8"/>
    <w:rsid w:val="00567B6C"/>
    <w:rsid w:val="005806CD"/>
    <w:rsid w:val="00591E22"/>
    <w:rsid w:val="0059605B"/>
    <w:rsid w:val="005E585B"/>
    <w:rsid w:val="00601BF8"/>
    <w:rsid w:val="007060E7"/>
    <w:rsid w:val="0071576E"/>
    <w:rsid w:val="00774FA1"/>
    <w:rsid w:val="00784014"/>
    <w:rsid w:val="00825CCE"/>
    <w:rsid w:val="00827262"/>
    <w:rsid w:val="008353EE"/>
    <w:rsid w:val="00836A18"/>
    <w:rsid w:val="00843314"/>
    <w:rsid w:val="00844A94"/>
    <w:rsid w:val="008923E8"/>
    <w:rsid w:val="008A3DA5"/>
    <w:rsid w:val="008D27FB"/>
    <w:rsid w:val="008D347E"/>
    <w:rsid w:val="009611B8"/>
    <w:rsid w:val="00983B00"/>
    <w:rsid w:val="009D72D2"/>
    <w:rsid w:val="009E44A4"/>
    <w:rsid w:val="009F0166"/>
    <w:rsid w:val="00A05AFD"/>
    <w:rsid w:val="00A82B8F"/>
    <w:rsid w:val="00A86226"/>
    <w:rsid w:val="00AC5583"/>
    <w:rsid w:val="00B10562"/>
    <w:rsid w:val="00B141B5"/>
    <w:rsid w:val="00B161A9"/>
    <w:rsid w:val="00B17A0E"/>
    <w:rsid w:val="00BD473C"/>
    <w:rsid w:val="00C01FCC"/>
    <w:rsid w:val="00C218C5"/>
    <w:rsid w:val="00C32E2B"/>
    <w:rsid w:val="00C534BB"/>
    <w:rsid w:val="00CC6D75"/>
    <w:rsid w:val="00CF643A"/>
    <w:rsid w:val="00D10F7E"/>
    <w:rsid w:val="00D36935"/>
    <w:rsid w:val="00D6044C"/>
    <w:rsid w:val="00D76170"/>
    <w:rsid w:val="00D93124"/>
    <w:rsid w:val="00DA105D"/>
    <w:rsid w:val="00DC0C34"/>
    <w:rsid w:val="00DD1E60"/>
    <w:rsid w:val="00E13F4E"/>
    <w:rsid w:val="00E85AF4"/>
    <w:rsid w:val="00E947A4"/>
    <w:rsid w:val="00E949A7"/>
    <w:rsid w:val="00EA5A02"/>
    <w:rsid w:val="00EC0CE1"/>
    <w:rsid w:val="00EC7A1A"/>
    <w:rsid w:val="00F2056D"/>
    <w:rsid w:val="00F21FBB"/>
    <w:rsid w:val="00F62668"/>
    <w:rsid w:val="00F8343D"/>
    <w:rsid w:val="00F8439D"/>
    <w:rsid w:val="00F86106"/>
    <w:rsid w:val="00F872D6"/>
    <w:rsid w:val="00F92348"/>
    <w:rsid w:val="00FB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10F7E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D10F7E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FontStyle12">
    <w:name w:val="Font Style12"/>
    <w:rsid w:val="00D10F7E"/>
    <w:rPr>
      <w:rFonts w:ascii="Times New Roman" w:hAnsi="Times New Roman"/>
      <w:i/>
      <w:sz w:val="26"/>
    </w:rPr>
  </w:style>
  <w:style w:type="paragraph" w:styleId="a5">
    <w:name w:val="List Paragraph"/>
    <w:basedOn w:val="a"/>
    <w:uiPriority w:val="34"/>
    <w:qFormat/>
    <w:rsid w:val="00F872D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a6">
    <w:name w:val="Intense Emphasis"/>
    <w:uiPriority w:val="21"/>
    <w:qFormat/>
    <w:rsid w:val="00F872D6"/>
    <w:rPr>
      <w:b/>
      <w:bCs/>
      <w:i/>
      <w:iCs/>
      <w:color w:val="4F81BD"/>
    </w:rPr>
  </w:style>
  <w:style w:type="paragraph" w:styleId="a7">
    <w:name w:val="Balloon Text"/>
    <w:basedOn w:val="a"/>
    <w:link w:val="a8"/>
    <w:uiPriority w:val="99"/>
    <w:semiHidden/>
    <w:unhideWhenUsed/>
    <w:rsid w:val="00F872D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72D6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9">
    <w:name w:val="Hyperlink"/>
    <w:basedOn w:val="a0"/>
    <w:uiPriority w:val="99"/>
    <w:unhideWhenUsed/>
    <w:rsid w:val="00E13F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eboleac</dc:creator>
  <cp:keywords/>
  <dc:description/>
  <cp:lastModifiedBy>imihalachi</cp:lastModifiedBy>
  <cp:revision>3</cp:revision>
  <dcterms:created xsi:type="dcterms:W3CDTF">2013-10-11T07:34:00Z</dcterms:created>
  <dcterms:modified xsi:type="dcterms:W3CDTF">2013-10-11T07:51:00Z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kypeName">
    <vt:lpwstr>elena.boleac1</vt:lpwstr>
  </property>
</Properties>
</file>