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488" w:tblpY="1315"/>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756A93" w:rsidRPr="00F93E0B" w14:paraId="31919987" w14:textId="77777777" w:rsidTr="00403D69">
        <w:tc>
          <w:tcPr>
            <w:tcW w:w="5000" w:type="pct"/>
            <w:tcBorders>
              <w:top w:val="nil"/>
              <w:left w:val="nil"/>
              <w:right w:val="nil"/>
            </w:tcBorders>
            <w:shd w:val="clear" w:color="auto" w:fill="FFFFFF" w:themeFill="background1"/>
          </w:tcPr>
          <w:p w14:paraId="371E23A8" w14:textId="5517B43E" w:rsidR="007609FD" w:rsidRPr="001B0984" w:rsidRDefault="001D020E" w:rsidP="00403D69">
            <w:pPr>
              <w:spacing w:after="0" w:line="240" w:lineRule="auto"/>
              <w:jc w:val="center"/>
              <w:rPr>
                <w:rFonts w:ascii="Times New Roman" w:hAnsi="Times New Roman"/>
                <w:b/>
                <w:sz w:val="24"/>
                <w:szCs w:val="24"/>
                <w:lang w:val="ro-RO"/>
              </w:rPr>
            </w:pPr>
            <w:r w:rsidRPr="001B0984">
              <w:rPr>
                <w:rFonts w:ascii="Times New Roman" w:hAnsi="Times New Roman"/>
                <w:b/>
                <w:sz w:val="24"/>
                <w:szCs w:val="24"/>
                <w:lang w:val="ro-RO"/>
              </w:rPr>
              <w:t xml:space="preserve"> </w:t>
            </w:r>
            <w:r w:rsidR="007609FD" w:rsidRPr="001B0984">
              <w:rPr>
                <w:rFonts w:ascii="Times New Roman" w:hAnsi="Times New Roman"/>
                <w:b/>
                <w:sz w:val="24"/>
                <w:szCs w:val="24"/>
                <w:lang w:val="ro-RO"/>
              </w:rPr>
              <w:t>NOTA INFORMATIVĂ</w:t>
            </w:r>
          </w:p>
          <w:p w14:paraId="410C0256" w14:textId="77777777" w:rsidR="001108C7" w:rsidRDefault="001108C7" w:rsidP="001108C7">
            <w:pPr>
              <w:spacing w:after="0" w:line="240" w:lineRule="auto"/>
              <w:jc w:val="center"/>
              <w:rPr>
                <w:rFonts w:ascii="Times New Roman" w:hAnsi="Times New Roman"/>
                <w:b/>
                <w:sz w:val="24"/>
                <w:szCs w:val="24"/>
                <w:lang w:val="ro-RO"/>
              </w:rPr>
            </w:pPr>
          </w:p>
          <w:p w14:paraId="136E5E00" w14:textId="37DD54D3" w:rsidR="0005650F" w:rsidRDefault="003E2085" w:rsidP="001108C7">
            <w:pPr>
              <w:spacing w:after="0" w:line="240" w:lineRule="auto"/>
              <w:jc w:val="center"/>
              <w:rPr>
                <w:rFonts w:ascii="Times New Roman" w:hAnsi="Times New Roman"/>
                <w:b/>
                <w:bCs/>
                <w:sz w:val="24"/>
                <w:szCs w:val="24"/>
                <w:lang w:val="ro-RO"/>
              </w:rPr>
            </w:pPr>
            <w:r w:rsidRPr="001B0984">
              <w:rPr>
                <w:rFonts w:ascii="Times New Roman" w:hAnsi="Times New Roman"/>
                <w:b/>
                <w:sz w:val="24"/>
                <w:szCs w:val="24"/>
                <w:lang w:val="ro-RO"/>
              </w:rPr>
              <w:t>la proiectul hotărârii de Guvern pentru aprobarea</w:t>
            </w:r>
            <w:r w:rsidRPr="001108C7">
              <w:rPr>
                <w:rFonts w:ascii="Times New Roman" w:hAnsi="Times New Roman"/>
                <w:b/>
                <w:sz w:val="24"/>
                <w:szCs w:val="24"/>
                <w:lang w:val="ro-RO"/>
              </w:rPr>
              <w:t xml:space="preserve"> </w:t>
            </w:r>
            <w:r w:rsidR="001108C7" w:rsidRPr="001108C7">
              <w:rPr>
                <w:rFonts w:ascii="Times New Roman" w:hAnsi="Times New Roman"/>
                <w:b/>
                <w:sz w:val="24"/>
                <w:szCs w:val="24"/>
                <w:lang w:val="ro-RO"/>
              </w:rPr>
              <w:t xml:space="preserve"> Planului Național integrat privind Energia și Clima</w:t>
            </w:r>
            <w:r w:rsidR="001108C7" w:rsidRPr="001108C7">
              <w:rPr>
                <w:rFonts w:ascii="Times New Roman" w:hAnsi="Times New Roman"/>
                <w:b/>
                <w:bCs/>
                <w:sz w:val="24"/>
                <w:szCs w:val="24"/>
                <w:lang w:val="ro-RO"/>
              </w:rPr>
              <w:t xml:space="preserve"> </w:t>
            </w:r>
          </w:p>
          <w:p w14:paraId="687026E9" w14:textId="265E8704" w:rsidR="001108C7" w:rsidRPr="001B0984" w:rsidRDefault="001108C7" w:rsidP="001108C7">
            <w:pPr>
              <w:spacing w:after="0" w:line="240" w:lineRule="auto"/>
              <w:jc w:val="center"/>
              <w:rPr>
                <w:rFonts w:ascii="Times New Roman" w:hAnsi="Times New Roman"/>
                <w:b/>
                <w:sz w:val="24"/>
                <w:szCs w:val="24"/>
                <w:lang w:val="ro-RO"/>
              </w:rPr>
            </w:pPr>
          </w:p>
        </w:tc>
      </w:tr>
      <w:tr w:rsidR="00756A93" w:rsidRPr="00F93E0B" w14:paraId="6EA4FDF4" w14:textId="77777777" w:rsidTr="00403D69">
        <w:trPr>
          <w:trHeight w:val="300"/>
        </w:trPr>
        <w:tc>
          <w:tcPr>
            <w:tcW w:w="5000" w:type="pct"/>
            <w:shd w:val="clear" w:color="auto" w:fill="D9D9D9" w:themeFill="background1" w:themeFillShade="D9"/>
          </w:tcPr>
          <w:p w14:paraId="39BBA490" w14:textId="60852840" w:rsidR="007609FD" w:rsidRPr="001B0984" w:rsidRDefault="007609FD"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t xml:space="preserve">1.Denumirea autorului </w:t>
            </w:r>
            <w:r w:rsidR="00936D04" w:rsidRPr="001B0984">
              <w:rPr>
                <w:rFonts w:ascii="Times New Roman" w:hAnsi="Times New Roman"/>
                <w:sz w:val="24"/>
                <w:szCs w:val="24"/>
                <w:lang w:val="ro-RO"/>
              </w:rPr>
              <w:t>și</w:t>
            </w:r>
            <w:r w:rsidRPr="001B0984">
              <w:rPr>
                <w:rFonts w:ascii="Times New Roman" w:hAnsi="Times New Roman"/>
                <w:sz w:val="24"/>
                <w:szCs w:val="24"/>
                <w:lang w:val="ro-RO"/>
              </w:rPr>
              <w:t xml:space="preserve">, după caz, a </w:t>
            </w:r>
            <w:r w:rsidR="00936D04" w:rsidRPr="001B0984">
              <w:rPr>
                <w:rFonts w:ascii="Times New Roman" w:hAnsi="Times New Roman"/>
                <w:sz w:val="24"/>
                <w:szCs w:val="24"/>
                <w:lang w:val="ro-RO"/>
              </w:rPr>
              <w:t>participanților</w:t>
            </w:r>
            <w:r w:rsidRPr="001B0984">
              <w:rPr>
                <w:rFonts w:ascii="Times New Roman" w:hAnsi="Times New Roman"/>
                <w:sz w:val="24"/>
                <w:szCs w:val="24"/>
                <w:lang w:val="ro-RO"/>
              </w:rPr>
              <w:t xml:space="preserve"> la elaborarea proiectului</w:t>
            </w:r>
          </w:p>
        </w:tc>
      </w:tr>
      <w:tr w:rsidR="00756A93" w:rsidRPr="00F93E0B" w14:paraId="46ABDEC4" w14:textId="77777777" w:rsidTr="00403D69">
        <w:trPr>
          <w:trHeight w:val="629"/>
        </w:trPr>
        <w:tc>
          <w:tcPr>
            <w:tcW w:w="5000" w:type="pct"/>
          </w:tcPr>
          <w:p w14:paraId="4AAF6B15" w14:textId="73B03B75" w:rsidR="00DC11BA" w:rsidRPr="001B0984" w:rsidRDefault="007F1D16" w:rsidP="00F75F06">
            <w:pPr>
              <w:tabs>
                <w:tab w:val="left" w:pos="884"/>
                <w:tab w:val="left" w:pos="1196"/>
              </w:tabs>
              <w:spacing w:before="60" w:after="60" w:line="240" w:lineRule="auto"/>
              <w:ind w:firstLine="601"/>
              <w:jc w:val="both"/>
              <w:rPr>
                <w:rFonts w:ascii="Times New Roman" w:hAnsi="Times New Roman"/>
                <w:sz w:val="24"/>
                <w:szCs w:val="24"/>
                <w:lang w:val="ro-RO"/>
              </w:rPr>
            </w:pPr>
            <w:r w:rsidRPr="001B0984">
              <w:rPr>
                <w:rFonts w:ascii="Times New Roman" w:hAnsi="Times New Roman"/>
                <w:sz w:val="24"/>
                <w:szCs w:val="24"/>
                <w:lang w:val="ro-RO"/>
              </w:rPr>
              <w:t xml:space="preserve">Proiectul </w:t>
            </w:r>
            <w:r w:rsidR="00D742DE" w:rsidRPr="001B0984">
              <w:rPr>
                <w:rFonts w:ascii="Times New Roman" w:hAnsi="Times New Roman"/>
                <w:sz w:val="24"/>
                <w:szCs w:val="24"/>
                <w:lang w:val="ro-RO"/>
              </w:rPr>
              <w:t>H</w:t>
            </w:r>
            <w:r w:rsidR="00096D45" w:rsidRPr="001B0984">
              <w:rPr>
                <w:rFonts w:ascii="Times New Roman" w:hAnsi="Times New Roman"/>
                <w:sz w:val="24"/>
                <w:szCs w:val="24"/>
                <w:lang w:val="ro-RO"/>
              </w:rPr>
              <w:t xml:space="preserve">otărârii de Guvern pentru aprobarea </w:t>
            </w:r>
            <w:r w:rsidR="001108C7" w:rsidRPr="001B0984">
              <w:rPr>
                <w:rFonts w:ascii="Times New Roman" w:hAnsi="Times New Roman"/>
                <w:sz w:val="24"/>
                <w:szCs w:val="24"/>
                <w:lang w:val="ro-RO"/>
              </w:rPr>
              <w:t xml:space="preserve"> P</w:t>
            </w:r>
            <w:r w:rsidR="001108C7">
              <w:rPr>
                <w:rFonts w:ascii="Times New Roman" w:hAnsi="Times New Roman"/>
                <w:sz w:val="24"/>
                <w:szCs w:val="24"/>
                <w:lang w:val="ro-RO"/>
              </w:rPr>
              <w:t>lanului Na</w:t>
            </w:r>
            <w:r w:rsidR="001108C7" w:rsidRPr="001B0984">
              <w:rPr>
                <w:rFonts w:ascii="Times New Roman" w:hAnsi="Times New Roman"/>
                <w:sz w:val="24"/>
                <w:szCs w:val="24"/>
                <w:lang w:val="ro-RO"/>
              </w:rPr>
              <w:t>ț</w:t>
            </w:r>
            <w:r w:rsidR="001108C7">
              <w:rPr>
                <w:rFonts w:ascii="Times New Roman" w:hAnsi="Times New Roman"/>
                <w:sz w:val="24"/>
                <w:szCs w:val="24"/>
                <w:lang w:val="ro-RO"/>
              </w:rPr>
              <w:t xml:space="preserve">ional integrat privind Energia </w:t>
            </w:r>
            <w:r w:rsidR="001108C7" w:rsidRPr="001B0984">
              <w:rPr>
                <w:rFonts w:ascii="Times New Roman" w:hAnsi="Times New Roman"/>
                <w:sz w:val="24"/>
                <w:szCs w:val="24"/>
                <w:lang w:val="ro-RO"/>
              </w:rPr>
              <w:t>ș</w:t>
            </w:r>
            <w:r w:rsidR="001108C7">
              <w:rPr>
                <w:rFonts w:ascii="Times New Roman" w:hAnsi="Times New Roman"/>
                <w:sz w:val="24"/>
                <w:szCs w:val="24"/>
                <w:lang w:val="ro-RO"/>
              </w:rPr>
              <w:t>i Clima</w:t>
            </w:r>
            <w:r w:rsidR="001108C7" w:rsidRPr="001B0984">
              <w:rPr>
                <w:rFonts w:ascii="Times New Roman" w:hAnsi="Times New Roman"/>
                <w:sz w:val="24"/>
                <w:szCs w:val="24"/>
                <w:lang w:val="ro-RO"/>
              </w:rPr>
              <w:t xml:space="preserve"> </w:t>
            </w:r>
            <w:r w:rsidR="00856F72" w:rsidRPr="001B0984">
              <w:rPr>
                <w:rFonts w:ascii="Times New Roman" w:hAnsi="Times New Roman"/>
                <w:sz w:val="24"/>
                <w:szCs w:val="24"/>
                <w:lang w:val="ro-RO"/>
              </w:rPr>
              <w:t xml:space="preserve"> (în continuare – P</w:t>
            </w:r>
            <w:r w:rsidR="001108C7">
              <w:rPr>
                <w:rFonts w:ascii="Times New Roman" w:hAnsi="Times New Roman"/>
                <w:sz w:val="24"/>
                <w:szCs w:val="24"/>
                <w:lang w:val="ro-RO"/>
              </w:rPr>
              <w:t>NEC</w:t>
            </w:r>
            <w:r w:rsidR="00856F72" w:rsidRPr="001B0984">
              <w:rPr>
                <w:rFonts w:ascii="Times New Roman" w:hAnsi="Times New Roman"/>
                <w:sz w:val="24"/>
                <w:szCs w:val="24"/>
                <w:lang w:val="ro-RO"/>
              </w:rPr>
              <w:t>)</w:t>
            </w:r>
            <w:r w:rsidR="00096D45" w:rsidRPr="001B0984">
              <w:rPr>
                <w:rFonts w:ascii="Times New Roman" w:hAnsi="Times New Roman"/>
                <w:sz w:val="24"/>
                <w:szCs w:val="24"/>
                <w:lang w:val="ro-RO"/>
              </w:rPr>
              <w:t xml:space="preserve"> </w:t>
            </w:r>
            <w:r w:rsidR="007609FD" w:rsidRPr="00F75F06">
              <w:rPr>
                <w:rFonts w:ascii="Times New Roman" w:hAnsi="Times New Roman"/>
                <w:sz w:val="24"/>
                <w:szCs w:val="24"/>
                <w:lang w:val="ro-RO"/>
              </w:rPr>
              <w:t>a fost elabor</w:t>
            </w:r>
            <w:r w:rsidR="00207998" w:rsidRPr="00F75F06">
              <w:rPr>
                <w:rFonts w:ascii="Times New Roman" w:hAnsi="Times New Roman"/>
                <w:sz w:val="24"/>
                <w:szCs w:val="24"/>
                <w:lang w:val="ro-RO"/>
              </w:rPr>
              <w:t xml:space="preserve">at de către Ministerul </w:t>
            </w:r>
            <w:r w:rsidR="001108C7" w:rsidRPr="00F75F06">
              <w:rPr>
                <w:rFonts w:ascii="Times New Roman" w:hAnsi="Times New Roman"/>
                <w:sz w:val="24"/>
                <w:szCs w:val="24"/>
                <w:lang w:val="ro-RO"/>
              </w:rPr>
              <w:t>Energiei</w:t>
            </w:r>
            <w:r w:rsidR="00096D45" w:rsidRPr="00F75F06">
              <w:rPr>
                <w:rFonts w:ascii="Times New Roman" w:hAnsi="Times New Roman"/>
                <w:sz w:val="24"/>
                <w:szCs w:val="24"/>
                <w:lang w:val="ro-RO"/>
              </w:rPr>
              <w:t>, cu suportul consultanților din cadrul proiectului</w:t>
            </w:r>
            <w:r w:rsidR="00ED4582" w:rsidRPr="00F75F06">
              <w:rPr>
                <w:rFonts w:ascii="Times New Roman" w:hAnsi="Times New Roman"/>
                <w:i/>
                <w:sz w:val="24"/>
                <w:szCs w:val="24"/>
                <w:lang w:val="ro-RO"/>
              </w:rPr>
              <w:t xml:space="preserve"> </w:t>
            </w:r>
            <w:r w:rsidR="00731B6A" w:rsidRPr="00F75F06">
              <w:rPr>
                <w:rFonts w:ascii="Times New Roman" w:hAnsi="Times New Roman"/>
                <w:i/>
                <w:sz w:val="24"/>
                <w:szCs w:val="24"/>
                <w:lang w:val="ro-RO"/>
              </w:rPr>
              <w:t>“Abordarea impactului crizei energetice in Moldova”</w:t>
            </w:r>
            <w:r w:rsidR="00ED4582" w:rsidRPr="00F75F06">
              <w:rPr>
                <w:rFonts w:ascii="Times New Roman" w:hAnsi="Times New Roman"/>
                <w:sz w:val="24"/>
                <w:szCs w:val="24"/>
                <w:lang w:val="ro-RO"/>
              </w:rPr>
              <w:t xml:space="preserve"> implementat de </w:t>
            </w:r>
            <w:r w:rsidR="00ED4582" w:rsidRPr="00F75F06">
              <w:rPr>
                <w:rFonts w:ascii="Times New Roman" w:hAnsi="Times New Roman"/>
                <w:sz w:val="24"/>
                <w:szCs w:val="24"/>
                <w:shd w:val="clear" w:color="auto" w:fill="FFFFFF"/>
                <w:lang w:val="ro-RO"/>
              </w:rPr>
              <w:t>către PNUD și finanța</w:t>
            </w:r>
            <w:r w:rsidR="00ED4582" w:rsidRPr="001B0984">
              <w:rPr>
                <w:rFonts w:ascii="Times New Roman" w:hAnsi="Times New Roman"/>
                <w:sz w:val="24"/>
                <w:szCs w:val="24"/>
                <w:shd w:val="clear" w:color="auto" w:fill="FFFFFF"/>
                <w:lang w:val="ro-RO"/>
              </w:rPr>
              <w:t>t de către Uniunea Europeană.</w:t>
            </w:r>
          </w:p>
        </w:tc>
      </w:tr>
      <w:tr w:rsidR="00756A93" w:rsidRPr="00F93E0B" w14:paraId="42A678A8" w14:textId="77777777" w:rsidTr="00403D69">
        <w:tc>
          <w:tcPr>
            <w:tcW w:w="5000" w:type="pct"/>
            <w:shd w:val="clear" w:color="auto" w:fill="D9D9D9" w:themeFill="background1" w:themeFillShade="D9"/>
          </w:tcPr>
          <w:p w14:paraId="4A8DF2BF" w14:textId="0A2A3E2B" w:rsidR="007609FD" w:rsidRPr="001B0984" w:rsidRDefault="007609FD"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t xml:space="preserve">2. </w:t>
            </w:r>
            <w:r w:rsidR="00936D04" w:rsidRPr="001B0984">
              <w:rPr>
                <w:rFonts w:ascii="Times New Roman" w:hAnsi="Times New Roman"/>
                <w:sz w:val="24"/>
                <w:szCs w:val="24"/>
                <w:lang w:val="ro-RO"/>
              </w:rPr>
              <w:t>Condițiile</w:t>
            </w:r>
            <w:r w:rsidRPr="001B0984">
              <w:rPr>
                <w:rFonts w:ascii="Times New Roman" w:hAnsi="Times New Roman"/>
                <w:sz w:val="24"/>
                <w:szCs w:val="24"/>
                <w:lang w:val="ro-RO"/>
              </w:rPr>
              <w:t xml:space="preserve"> ce au impus elaborarea proiectului de act normativ </w:t>
            </w:r>
            <w:r w:rsidR="00936D04" w:rsidRPr="001B0984">
              <w:rPr>
                <w:rFonts w:ascii="Times New Roman" w:hAnsi="Times New Roman"/>
                <w:sz w:val="24"/>
                <w:szCs w:val="24"/>
                <w:lang w:val="ro-RO"/>
              </w:rPr>
              <w:t>și</w:t>
            </w:r>
            <w:r w:rsidRPr="001B0984">
              <w:rPr>
                <w:rFonts w:ascii="Times New Roman" w:hAnsi="Times New Roman"/>
                <w:sz w:val="24"/>
                <w:szCs w:val="24"/>
                <w:lang w:val="ro-RO"/>
              </w:rPr>
              <w:t xml:space="preserve"> </w:t>
            </w:r>
            <w:r w:rsidR="00936D04" w:rsidRPr="001B0984">
              <w:rPr>
                <w:rFonts w:ascii="Times New Roman" w:hAnsi="Times New Roman"/>
                <w:sz w:val="24"/>
                <w:szCs w:val="24"/>
                <w:lang w:val="ro-RO"/>
              </w:rPr>
              <w:t>finalitățile</w:t>
            </w:r>
            <w:r w:rsidRPr="001B0984">
              <w:rPr>
                <w:rFonts w:ascii="Times New Roman" w:hAnsi="Times New Roman"/>
                <w:sz w:val="24"/>
                <w:szCs w:val="24"/>
                <w:lang w:val="ro-RO"/>
              </w:rPr>
              <w:t xml:space="preserve"> urmărite</w:t>
            </w:r>
          </w:p>
        </w:tc>
      </w:tr>
      <w:tr w:rsidR="00756A93" w:rsidRPr="00F93E0B" w14:paraId="510215B9" w14:textId="77777777" w:rsidTr="00403D69">
        <w:tc>
          <w:tcPr>
            <w:tcW w:w="5000" w:type="pct"/>
          </w:tcPr>
          <w:p w14:paraId="345CE307" w14:textId="2783709F" w:rsidR="00526E74" w:rsidRPr="00526E74" w:rsidRDefault="00ED2086" w:rsidP="00526E74">
            <w:pPr>
              <w:spacing w:before="60" w:after="60" w:line="240" w:lineRule="auto"/>
              <w:ind w:left="122"/>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           </w:t>
            </w:r>
            <w:r w:rsidR="00526E74" w:rsidRPr="00526E74">
              <w:rPr>
                <w:rFonts w:ascii="Times New Roman" w:eastAsia="Times New Roman" w:hAnsi="Times New Roman"/>
                <w:sz w:val="24"/>
                <w:szCs w:val="24"/>
                <w:lang w:val="ro-MD"/>
              </w:rPr>
              <w:t xml:space="preserve">În calitatea sa de semnatară a Convenției ONU pentru Schimbările Climatice (CONUSC) și de parte contractantă a Tratatului Comunității Energetice (CEn), Republica Moldova și-a asumat o serie de angajamente în domeniul energie și climă. Combaterea efectelor negative ale schimbărilor climatice prin reducerea emisiilor de gaze cu efect de seră (GES) este un proces complex și multidimensional, a cărui eficiență depinde de convergența între politicile publice și măsurile implementate în sectorul energetic și cel al protecției mediului înconjurător. </w:t>
            </w:r>
          </w:p>
          <w:p w14:paraId="6F92B4C6" w14:textId="6AF1549D" w:rsidR="00ED2086" w:rsidRDefault="00ED2086" w:rsidP="00526E74">
            <w:pPr>
              <w:spacing w:before="60" w:after="60" w:line="240" w:lineRule="auto"/>
              <w:ind w:left="122"/>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           </w:t>
            </w:r>
            <w:r w:rsidR="00526E74" w:rsidRPr="00526E74">
              <w:rPr>
                <w:rFonts w:ascii="Times New Roman" w:eastAsia="Times New Roman" w:hAnsi="Times New Roman"/>
                <w:sz w:val="24"/>
                <w:szCs w:val="24"/>
                <w:lang w:val="ro-MD"/>
              </w:rPr>
              <w:t xml:space="preserve">Sectorul energetic al Republicii Moldova a început să fie reformat odată cu declararea independenței țării, în urmă cu trei decenii. În prezent acest proces este în plină desfășurare. Semnarea Acordului de Asociere între Uniunea Europeană și Republica Moldova a impulsionat în ultimul deceniu transpunerea acquis-ului comunitar în domeniul energie și climă. Astfel, legislația națională a fost modificată și completată prin adoptarea mai multor legi care favorizează liberalizarea pieței energiei și adaptarea ei la standardele europene, promovează energia din surse regenerabile și măsurile de eficiență energetică, impulsionează implementarea măsurilor de dezvoltare cu emisii reduse de GES, introduce mecanisme moderne de echilibrare a sectorului electroenergetic și de asigurare a flexibilității, încurajează implementarea proiectelor de interconectare la sistemul energetic al UE, etc. </w:t>
            </w:r>
          </w:p>
          <w:p w14:paraId="6A7E4DA5" w14:textId="793015D4" w:rsidR="00526E74" w:rsidRPr="00526E74" w:rsidRDefault="00ED2086" w:rsidP="00526E74">
            <w:pPr>
              <w:spacing w:before="60" w:after="60" w:line="240" w:lineRule="auto"/>
              <w:ind w:left="122"/>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           </w:t>
            </w:r>
            <w:r w:rsidR="00526E74" w:rsidRPr="00526E74">
              <w:rPr>
                <w:rFonts w:ascii="Times New Roman" w:eastAsia="Times New Roman" w:hAnsi="Times New Roman"/>
                <w:sz w:val="24"/>
                <w:szCs w:val="24"/>
                <w:lang w:val="ro-MD"/>
              </w:rPr>
              <w:t>Cooperarea cu partenerii de dezvoltare, și în special cu statele vecine și cu Uniunea Europeană în cadrul Comunității Energetice este un element central al procesului de dotare a țării cu capacitățile și cu instrumentarul juridic și legal necesar pentru modernizarea și eficientizarea sectorului energetic. Într-un context similar, participarea Republicii Moldova în procesele de monitorizare și raportare din cadrul CONUSC contribuie la menținerea unui rol activ al țării în combaterea schimbărilor climatice.</w:t>
            </w:r>
          </w:p>
          <w:p w14:paraId="5E585BC7" w14:textId="51A8D7CD" w:rsidR="00526E74" w:rsidRDefault="00ED2086" w:rsidP="00526E74">
            <w:pPr>
              <w:spacing w:before="60" w:after="60" w:line="240" w:lineRule="auto"/>
              <w:ind w:left="122"/>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           </w:t>
            </w:r>
            <w:r w:rsidR="00526E74" w:rsidRPr="00526E74">
              <w:rPr>
                <w:rFonts w:ascii="Times New Roman" w:eastAsia="Times New Roman" w:hAnsi="Times New Roman"/>
                <w:sz w:val="24"/>
                <w:szCs w:val="24"/>
                <w:lang w:val="ro-MD"/>
              </w:rPr>
              <w:t xml:space="preserve">Comunicarea Comisiei Europene cu privire la Starea Uniunii Energetice, adoptată în anul 2015, stabilește că Planurile Naționale integrate privind Energia și Clima, elaborate de către statele membre ale Uniunii Europene, constituie instrumente fundamentale pentru implementarea Strategiei Uniunii Energetice și contribuie la dezvoltarea unui cadru strategic de politici publice în domeniile energiei și climei. Această decizie a impulsionat elaborarea și adoptarea de către statele membre ale UE a PNEC pentru perioada 2021 – 2030. Planurile Naționale stabilesc țintele și detaliază contribuțiile naționale la realizarea obiectivelor UE privind schimbările climatice și în domeniul energiei. </w:t>
            </w:r>
          </w:p>
          <w:p w14:paraId="4A31B039" w14:textId="42C36C0F" w:rsidR="00ED2086" w:rsidRPr="00526E74" w:rsidRDefault="00ED2086" w:rsidP="00526E74">
            <w:pPr>
              <w:spacing w:before="60" w:after="60" w:line="240" w:lineRule="auto"/>
              <w:ind w:left="122"/>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           </w:t>
            </w:r>
            <w:r w:rsidRPr="00526E74">
              <w:rPr>
                <w:rFonts w:ascii="Times New Roman" w:eastAsia="Times New Roman" w:hAnsi="Times New Roman"/>
                <w:sz w:val="24"/>
                <w:szCs w:val="24"/>
                <w:lang w:val="ro-MD"/>
              </w:rPr>
              <w:t xml:space="preserve">În anul 2018, Consiliul Ministerial al Comunității Energetice a adoptat Recomandarea 2018/01/EnC-MC prin care este stabilit că elaborarea și adoptarea PNEC de către părțile contractante la CEn va susține atingerea obiectivelor de politici publice pe termen lung în domeniul energiei și climei, va reduce povara administrativă, va favoriza transparența și va promova siguranța investițională la nivel regional. Regulamentul (UE) nr. 2018/1999 privind Guvernanța Uniunii Energetice și a acțiunilor climatice, adaptat prin Decizia 2021/14/EnC-MC a Consiliului Ministerial al Comunității Energetice, a fixat un set de reguli comune privind planificarea, raportarea și monitorizarea de către părțile contractante a politicilor și a țintelor din </w:t>
            </w:r>
            <w:r w:rsidRPr="00526E74">
              <w:rPr>
                <w:rFonts w:ascii="Times New Roman" w:eastAsia="Times New Roman" w:hAnsi="Times New Roman"/>
                <w:sz w:val="24"/>
                <w:szCs w:val="24"/>
                <w:lang w:val="ro-MD"/>
              </w:rPr>
              <w:lastRenderedPageBreak/>
              <w:t xml:space="preserve">domeniile energie și climă. Regulamentul include un set de recomandări cu privire la conținutul, structura, modalitatea de elaborare și aprobare de către părțile contractante a Planurilor Naționale integrate privind Energia și Clima. Conform Regulamentului, primul PNEC trebuie să cuprindă perioada 2025 și 2030 și, ulterior, perioade de zece ani, începând din 2031 până în 2040. Regulamentul (UE) nr. 2018/1999 </w:t>
            </w:r>
            <w:r w:rsidR="00161BC9">
              <w:rPr>
                <w:rFonts w:ascii="Times New Roman" w:eastAsia="Times New Roman" w:hAnsi="Times New Roman"/>
                <w:sz w:val="24"/>
                <w:szCs w:val="24"/>
                <w:lang w:val="ro-MD"/>
              </w:rPr>
              <w:t>a fost transus in legislația națională, iar în ședința Guvernulu</w:t>
            </w:r>
            <w:r w:rsidR="00F75F06">
              <w:rPr>
                <w:rFonts w:ascii="Times New Roman" w:eastAsia="Times New Roman" w:hAnsi="Times New Roman"/>
                <w:sz w:val="24"/>
                <w:szCs w:val="24"/>
                <w:lang w:val="ro-MD"/>
              </w:rPr>
              <w:t>i din</w:t>
            </w:r>
            <w:r w:rsidR="00161BC9">
              <w:rPr>
                <w:rFonts w:ascii="Times New Roman" w:eastAsia="Times New Roman" w:hAnsi="Times New Roman"/>
                <w:sz w:val="24"/>
                <w:szCs w:val="24"/>
                <w:lang w:val="ro-MD"/>
              </w:rPr>
              <w:t xml:space="preserve"> 10 ian</w:t>
            </w:r>
            <w:r w:rsidR="00F75F06">
              <w:rPr>
                <w:rFonts w:ascii="Times New Roman" w:eastAsia="Times New Roman" w:hAnsi="Times New Roman"/>
                <w:sz w:val="24"/>
                <w:szCs w:val="24"/>
                <w:lang w:val="ro-MD"/>
              </w:rPr>
              <w:t>u</w:t>
            </w:r>
            <w:r w:rsidR="00161BC9">
              <w:rPr>
                <w:rFonts w:ascii="Times New Roman" w:eastAsia="Times New Roman" w:hAnsi="Times New Roman"/>
                <w:sz w:val="24"/>
                <w:szCs w:val="24"/>
                <w:lang w:val="ro-MD"/>
              </w:rPr>
              <w:t>arie 2024 a fost adoptat</w:t>
            </w:r>
            <w:r w:rsidRPr="00526E74">
              <w:rPr>
                <w:rFonts w:ascii="Times New Roman" w:eastAsia="Times New Roman" w:hAnsi="Times New Roman"/>
                <w:sz w:val="24"/>
                <w:szCs w:val="24"/>
                <w:lang w:val="ro-MD"/>
              </w:rPr>
              <w:t>.</w:t>
            </w:r>
          </w:p>
          <w:p w14:paraId="06604E38" w14:textId="0FC6609B" w:rsidR="00526E74" w:rsidRPr="00ED2086" w:rsidRDefault="00ED2086" w:rsidP="00526E74">
            <w:pPr>
              <w:spacing w:before="60" w:after="60" w:line="240" w:lineRule="auto"/>
              <w:ind w:left="122"/>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           </w:t>
            </w:r>
            <w:r w:rsidR="00526E74" w:rsidRPr="00526E74">
              <w:rPr>
                <w:rFonts w:ascii="Times New Roman" w:eastAsia="Times New Roman" w:hAnsi="Times New Roman"/>
                <w:sz w:val="24"/>
                <w:szCs w:val="24"/>
                <w:lang w:val="ro-MD"/>
              </w:rPr>
              <w:t xml:space="preserve">La data de 23 iunie 2022 Consiliul European a acordat Republicii Moldova statutul de stat candidat în procesul de aderare la Uniunea Europeană. Această etapă importantă a parcursului de integrare europeană a țării noastre sporește motivația factorilor de decizie de nivel național de a implementa măsurile necesare pentru a atinge țintele fixate în domeniile energie și climă în termeni cât mai restrânși. </w:t>
            </w:r>
            <w:r w:rsidR="00526E74" w:rsidRPr="00ED2086">
              <w:rPr>
                <w:rFonts w:ascii="Times New Roman" w:eastAsia="Times New Roman" w:hAnsi="Times New Roman"/>
                <w:sz w:val="24"/>
                <w:szCs w:val="24"/>
                <w:lang w:val="ro-MD"/>
              </w:rPr>
              <w:t>Procesul de negociere pentru aderarea Republicii Moldova la UE va impulsiona punerea în aplicare cât mai rapidă a măsurilor respective.</w:t>
            </w:r>
          </w:p>
          <w:p w14:paraId="0E45FAC9" w14:textId="2DB2B37B" w:rsidR="00ED2086" w:rsidRPr="00ED2086" w:rsidRDefault="00ED2086" w:rsidP="00526E74">
            <w:pPr>
              <w:spacing w:before="60" w:after="60" w:line="240" w:lineRule="auto"/>
              <w:ind w:firstLine="601"/>
              <w:jc w:val="both"/>
              <w:rPr>
                <w:rFonts w:ascii="Times New Roman" w:hAnsi="Times New Roman"/>
                <w:sz w:val="24"/>
                <w:szCs w:val="24"/>
                <w:lang w:val="ro-MD"/>
              </w:rPr>
            </w:pPr>
            <w:r w:rsidRPr="00ED2086">
              <w:rPr>
                <w:rFonts w:ascii="Times New Roman" w:eastAsia="Times New Roman" w:hAnsi="Times New Roman"/>
                <w:sz w:val="24"/>
                <w:szCs w:val="24"/>
                <w:shd w:val="clear" w:color="auto" w:fill="FFFFFF"/>
                <w:lang w:val="ro-RO"/>
              </w:rPr>
              <w:t>În corespundere cu obligațiile sale asumate pe plan internațional în domeniile energiei și climei, în noiembrie 2022, Republica Moldova a lansat o serie de acțiuni de ordin analitic, instituțional și de reglementare pentru elaborarea Planului Național integrat privind Energia și Clima.</w:t>
            </w:r>
          </w:p>
          <w:p w14:paraId="5EAA9424" w14:textId="774D31B8" w:rsidR="003C2AAA" w:rsidRPr="001B0984" w:rsidRDefault="00526E74" w:rsidP="00ED2086">
            <w:pPr>
              <w:spacing w:before="60" w:after="60" w:line="240" w:lineRule="auto"/>
              <w:ind w:firstLine="601"/>
              <w:jc w:val="both"/>
              <w:rPr>
                <w:rFonts w:ascii="Times New Roman" w:hAnsi="Times New Roman"/>
                <w:sz w:val="24"/>
                <w:szCs w:val="24"/>
                <w:lang w:val="ro-RO"/>
              </w:rPr>
            </w:pPr>
            <w:r w:rsidRPr="00ED2086">
              <w:rPr>
                <w:rFonts w:ascii="Times New Roman" w:hAnsi="Times New Roman"/>
                <w:sz w:val="24"/>
                <w:szCs w:val="24"/>
                <w:lang w:val="ro-MD"/>
              </w:rPr>
              <w:t>În decembrie 2022 Consiliul Ministerial al Comunității Energetice a adoptat un amendament la Regulamentul (UE) nr. 2018/1999 privind Guvernanța Uniunii Energetice prin care au fost introduse țintele pentru anul 2030 pentru fiecare parte contractantă, inclusiv pentru Republica Moldova (</w:t>
            </w:r>
            <w:r w:rsidR="00915A3B" w:rsidRPr="00ED2086">
              <w:rPr>
                <w:rFonts w:ascii="Times New Roman" w:hAnsi="Times New Roman"/>
                <w:sz w:val="24"/>
                <w:szCs w:val="24"/>
                <w:lang w:val="ro-MD"/>
              </w:rPr>
              <w:t>țintele</w:t>
            </w:r>
            <w:r w:rsidRPr="00ED2086">
              <w:rPr>
                <w:rFonts w:ascii="Times New Roman" w:hAnsi="Times New Roman"/>
                <w:sz w:val="24"/>
                <w:szCs w:val="24"/>
                <w:lang w:val="ro-MD"/>
              </w:rPr>
              <w:t xml:space="preserve"> sunt stabilite strict pentru teritoriul controlat de către autoritățile constituționale ale Republicii Moldova). Astfel, ponderea energiei din surse regenerabile în consumul final de energie trebuie să fie de minim 27% în anul 2030. Creșterea consumului total de energie primară va fi de cel mult 3000 de ktep în anul 2030, iar a consumului total final de energie de cel mult 2800 de ktep în anul 2030. Totodată, este preconizată o reducere a emisiilor nete de gaze cu efect de seră (GES) cu 68,6% în anul 2030 față de nivelul anului de referință 1990, la nivelul de 9,10 Mt de CO</w:t>
            </w:r>
            <w:r w:rsidRPr="00ED2086">
              <w:rPr>
                <w:rFonts w:ascii="Times New Roman" w:hAnsi="Times New Roman"/>
                <w:sz w:val="24"/>
                <w:szCs w:val="24"/>
                <w:vertAlign w:val="subscript"/>
                <w:lang w:val="ro-MD"/>
              </w:rPr>
              <w:t>2</w:t>
            </w:r>
            <w:r w:rsidRPr="00ED2086">
              <w:rPr>
                <w:rFonts w:ascii="Times New Roman" w:hAnsi="Times New Roman"/>
                <w:sz w:val="24"/>
                <w:szCs w:val="24"/>
                <w:lang w:val="ro-MD"/>
              </w:rPr>
              <w:t xml:space="preserve"> echivalent (inclusiv sectorul Folosința terenurilor, schimbarea categoriei de folosință a terenurilor și silvicultură – FTSCFTS).</w:t>
            </w:r>
          </w:p>
        </w:tc>
      </w:tr>
      <w:tr w:rsidR="00756A93" w:rsidRPr="00F93E0B" w14:paraId="4FEF28F1" w14:textId="77777777" w:rsidTr="00403D69">
        <w:tc>
          <w:tcPr>
            <w:tcW w:w="5000" w:type="pct"/>
            <w:shd w:val="clear" w:color="auto" w:fill="D9D9D9" w:themeFill="background1" w:themeFillShade="D9"/>
          </w:tcPr>
          <w:p w14:paraId="58084295" w14:textId="12900373" w:rsidR="007609FD" w:rsidRPr="001B0984" w:rsidRDefault="007609FD"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lastRenderedPageBreak/>
              <w:t xml:space="preserve">3. Descrierea gradului de compatibilitate pentru proiectele care au ca scop armonizarea </w:t>
            </w:r>
            <w:r w:rsidR="007B447B" w:rsidRPr="001B0984">
              <w:rPr>
                <w:rFonts w:ascii="Times New Roman" w:hAnsi="Times New Roman"/>
                <w:sz w:val="24"/>
                <w:szCs w:val="24"/>
                <w:lang w:val="ro-RO"/>
              </w:rPr>
              <w:t>legislației</w:t>
            </w:r>
            <w:r w:rsidRPr="001B0984">
              <w:rPr>
                <w:rFonts w:ascii="Times New Roman" w:hAnsi="Times New Roman"/>
                <w:sz w:val="24"/>
                <w:szCs w:val="24"/>
                <w:lang w:val="ro-RO"/>
              </w:rPr>
              <w:t xml:space="preserve"> </w:t>
            </w:r>
            <w:r w:rsidR="007B447B" w:rsidRPr="001B0984">
              <w:rPr>
                <w:rFonts w:ascii="Times New Roman" w:hAnsi="Times New Roman"/>
                <w:sz w:val="24"/>
                <w:szCs w:val="24"/>
                <w:lang w:val="ro-RO"/>
              </w:rPr>
              <w:t>naționale</w:t>
            </w:r>
            <w:r w:rsidRPr="001B0984">
              <w:rPr>
                <w:rFonts w:ascii="Times New Roman" w:hAnsi="Times New Roman"/>
                <w:sz w:val="24"/>
                <w:szCs w:val="24"/>
                <w:lang w:val="ro-RO"/>
              </w:rPr>
              <w:t xml:space="preserve"> cu </w:t>
            </w:r>
            <w:r w:rsidR="007B447B" w:rsidRPr="001B0984">
              <w:rPr>
                <w:rFonts w:ascii="Times New Roman" w:hAnsi="Times New Roman"/>
                <w:sz w:val="24"/>
                <w:szCs w:val="24"/>
                <w:lang w:val="ro-RO"/>
              </w:rPr>
              <w:t>legislația</w:t>
            </w:r>
            <w:r w:rsidRPr="001B0984">
              <w:rPr>
                <w:rFonts w:ascii="Times New Roman" w:hAnsi="Times New Roman"/>
                <w:sz w:val="24"/>
                <w:szCs w:val="24"/>
                <w:lang w:val="ro-RO"/>
              </w:rPr>
              <w:t xml:space="preserve"> Uniunii Europene</w:t>
            </w:r>
          </w:p>
        </w:tc>
      </w:tr>
      <w:tr w:rsidR="00756A93" w:rsidRPr="00F93E0B" w14:paraId="6CB8672B" w14:textId="77777777" w:rsidTr="00403D69">
        <w:tc>
          <w:tcPr>
            <w:tcW w:w="5000" w:type="pct"/>
          </w:tcPr>
          <w:p w14:paraId="25028516" w14:textId="142B313B" w:rsidR="007B2A01" w:rsidRPr="001B0984" w:rsidRDefault="00D23CDB" w:rsidP="00F75F06">
            <w:pPr>
              <w:spacing w:before="120" w:after="120" w:line="240" w:lineRule="auto"/>
              <w:ind w:firstLine="601"/>
              <w:jc w:val="both"/>
              <w:rPr>
                <w:rFonts w:ascii="Times New Roman" w:hAnsi="Times New Roman"/>
                <w:sz w:val="24"/>
                <w:szCs w:val="24"/>
                <w:lang w:val="ro-RO"/>
              </w:rPr>
            </w:pPr>
            <w:r w:rsidRPr="001B0984">
              <w:rPr>
                <w:rFonts w:ascii="Times New Roman" w:hAnsi="Times New Roman"/>
                <w:sz w:val="24"/>
                <w:szCs w:val="24"/>
                <w:lang w:val="ro-RO"/>
              </w:rPr>
              <w:t>Proiectul</w:t>
            </w:r>
            <w:r w:rsidR="00D742DE" w:rsidRPr="001B0984">
              <w:rPr>
                <w:rFonts w:ascii="Times New Roman" w:hAnsi="Times New Roman"/>
                <w:sz w:val="24"/>
                <w:szCs w:val="24"/>
                <w:lang w:val="ro-RO"/>
              </w:rPr>
              <w:t xml:space="preserve"> Hotărârii de Guvern </w:t>
            </w:r>
            <w:r w:rsidRPr="001B0984">
              <w:rPr>
                <w:rFonts w:ascii="Times New Roman" w:hAnsi="Times New Roman"/>
                <w:sz w:val="24"/>
                <w:szCs w:val="24"/>
                <w:lang w:val="ro-RO"/>
              </w:rPr>
              <w:t xml:space="preserve">nu transpune </w:t>
            </w:r>
            <w:r w:rsidR="007B2A01">
              <w:rPr>
                <w:rFonts w:ascii="Times New Roman" w:hAnsi="Times New Roman"/>
                <w:sz w:val="24"/>
                <w:szCs w:val="24"/>
                <w:lang w:val="ro-RO"/>
              </w:rPr>
              <w:t xml:space="preserve">direct vreunul din </w:t>
            </w:r>
            <w:r w:rsidRPr="001B0984">
              <w:rPr>
                <w:rFonts w:ascii="Times New Roman" w:hAnsi="Times New Roman"/>
                <w:sz w:val="24"/>
                <w:szCs w:val="24"/>
                <w:lang w:val="ro-RO"/>
              </w:rPr>
              <w:t>actele normative ale Uniunii Europene întru armonizarea legislației naționale</w:t>
            </w:r>
            <w:r w:rsidR="007B2A01">
              <w:rPr>
                <w:rFonts w:ascii="Times New Roman" w:hAnsi="Times New Roman"/>
                <w:sz w:val="24"/>
                <w:szCs w:val="24"/>
                <w:lang w:val="ro-RO"/>
              </w:rPr>
              <w:t xml:space="preserve"> însă elaborarea PNEC este prevăzută de </w:t>
            </w:r>
            <w:r w:rsidR="007B2A01" w:rsidRPr="00526E74">
              <w:rPr>
                <w:rFonts w:ascii="Times New Roman" w:eastAsia="Times New Roman" w:hAnsi="Times New Roman"/>
                <w:sz w:val="24"/>
                <w:szCs w:val="24"/>
                <w:lang w:val="ro-MD"/>
              </w:rPr>
              <w:t xml:space="preserve"> Regulamentul (UE) nr. 2018/1999 privind Guvernanța Uniunii Energetice și a acțiunilor climatice</w:t>
            </w:r>
            <w:r w:rsidRPr="001B0984">
              <w:rPr>
                <w:rFonts w:ascii="Times New Roman" w:hAnsi="Times New Roman"/>
                <w:sz w:val="24"/>
                <w:szCs w:val="24"/>
                <w:lang w:val="ro-RO"/>
              </w:rPr>
              <w:t>.</w:t>
            </w:r>
          </w:p>
        </w:tc>
      </w:tr>
      <w:tr w:rsidR="00756A93" w:rsidRPr="00F93E0B" w14:paraId="2CD3A80A" w14:textId="77777777" w:rsidTr="00403D69">
        <w:tc>
          <w:tcPr>
            <w:tcW w:w="5000" w:type="pct"/>
            <w:shd w:val="clear" w:color="auto" w:fill="D9D9D9" w:themeFill="background1" w:themeFillShade="D9"/>
          </w:tcPr>
          <w:p w14:paraId="795AD614" w14:textId="3AF32DED" w:rsidR="007609FD" w:rsidRPr="001B0984" w:rsidRDefault="007609FD"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t xml:space="preserve">4. Principalele prevederi ale proiectului </w:t>
            </w:r>
            <w:r w:rsidR="007B447B" w:rsidRPr="001B0984">
              <w:rPr>
                <w:rFonts w:ascii="Times New Roman" w:hAnsi="Times New Roman"/>
                <w:sz w:val="24"/>
                <w:szCs w:val="24"/>
                <w:lang w:val="ro-RO"/>
              </w:rPr>
              <w:t>și</w:t>
            </w:r>
            <w:r w:rsidRPr="001B0984">
              <w:rPr>
                <w:rFonts w:ascii="Times New Roman" w:hAnsi="Times New Roman"/>
                <w:sz w:val="24"/>
                <w:szCs w:val="24"/>
                <w:lang w:val="ro-RO"/>
              </w:rPr>
              <w:t xml:space="preserve"> </w:t>
            </w:r>
            <w:r w:rsidR="007B447B" w:rsidRPr="001B0984">
              <w:rPr>
                <w:rFonts w:ascii="Times New Roman" w:hAnsi="Times New Roman"/>
                <w:sz w:val="24"/>
                <w:szCs w:val="24"/>
                <w:lang w:val="ro-RO"/>
              </w:rPr>
              <w:t>evidențierea</w:t>
            </w:r>
            <w:r w:rsidRPr="001B0984">
              <w:rPr>
                <w:rFonts w:ascii="Times New Roman" w:hAnsi="Times New Roman"/>
                <w:sz w:val="24"/>
                <w:szCs w:val="24"/>
                <w:lang w:val="ro-RO"/>
              </w:rPr>
              <w:t xml:space="preserve"> elementelor noi</w:t>
            </w:r>
          </w:p>
        </w:tc>
      </w:tr>
      <w:tr w:rsidR="00756A93" w:rsidRPr="00F93E0B" w14:paraId="5CD67B3B" w14:textId="77777777" w:rsidTr="00403D69">
        <w:tc>
          <w:tcPr>
            <w:tcW w:w="5000" w:type="pct"/>
          </w:tcPr>
          <w:p w14:paraId="25E2D184" w14:textId="577EDC2D" w:rsidR="00FD7B82" w:rsidRPr="00FD7B82" w:rsidRDefault="00FD7B82" w:rsidP="00915A3B">
            <w:pPr>
              <w:pStyle w:val="P68B1DB1-TableParagraph5"/>
              <w:spacing w:before="60" w:after="60"/>
              <w:ind w:left="0"/>
              <w:rPr>
                <w:lang w:val="ro-MD"/>
              </w:rPr>
            </w:pPr>
            <w:r>
              <w:rPr>
                <w:lang w:val="ro-MD"/>
              </w:rPr>
              <w:t xml:space="preserve">           </w:t>
            </w:r>
            <w:r w:rsidRPr="00FD7B82">
              <w:rPr>
                <w:lang w:val="ro-MD"/>
              </w:rPr>
              <w:t xml:space="preserve">Planul Național integrat privind Energia și Clima </w:t>
            </w:r>
            <w:r>
              <w:rPr>
                <w:lang w:val="ro-MD"/>
              </w:rPr>
              <w:t>s</w:t>
            </w:r>
            <w:r w:rsidRPr="00FD7B82">
              <w:rPr>
                <w:lang w:val="ro-MD"/>
              </w:rPr>
              <w:t>tabil</w:t>
            </w:r>
            <w:r>
              <w:rPr>
                <w:lang w:val="ro-MD"/>
              </w:rPr>
              <w:t>e</w:t>
            </w:r>
            <w:r w:rsidRPr="00FD7B82">
              <w:rPr>
                <w:lang w:val="ro-MD"/>
              </w:rPr>
              <w:t>ș</w:t>
            </w:r>
            <w:r>
              <w:rPr>
                <w:lang w:val="ro-MD"/>
              </w:rPr>
              <w:t xml:space="preserve">te </w:t>
            </w:r>
            <w:r w:rsidRPr="00FD7B82">
              <w:rPr>
                <w:lang w:val="ro-MD"/>
              </w:rPr>
              <w:t>și descrie obiectivele politicii de stat în domeniul eficienței energetice, în domeniul surselor de energie regenerabilă și de reducere emisiilor GES, inclusiv</w:t>
            </w:r>
            <w:r w:rsidRPr="00FD7B82" w:rsidDel="000D3A6C">
              <w:rPr>
                <w:lang w:val="ro-MD"/>
              </w:rPr>
              <w:t xml:space="preserve"> </w:t>
            </w:r>
            <w:r w:rsidRPr="00FD7B82">
              <w:rPr>
                <w:lang w:val="ro-MD"/>
              </w:rPr>
              <w:t>detalia</w:t>
            </w:r>
            <w:r>
              <w:rPr>
                <w:lang w:val="ro-MD"/>
              </w:rPr>
              <w:t>z</w:t>
            </w:r>
            <w:r w:rsidRPr="00FD7B82">
              <w:rPr>
                <w:lang w:val="ro-MD"/>
              </w:rPr>
              <w:t>ă modalitatea de atingere a țintelor respective.</w:t>
            </w:r>
          </w:p>
          <w:p w14:paraId="3FCBD258" w14:textId="77777777" w:rsidR="00FD7B82" w:rsidRDefault="00FD7B82" w:rsidP="00915A3B">
            <w:pPr>
              <w:spacing w:before="60" w:after="60" w:line="240" w:lineRule="auto"/>
              <w:ind w:firstLine="601"/>
              <w:jc w:val="both"/>
              <w:rPr>
                <w:rFonts w:ascii="Times New Roman" w:eastAsia="Times New Roman" w:hAnsi="Times New Roman"/>
                <w:sz w:val="24"/>
                <w:szCs w:val="20"/>
                <w:lang w:val="ro-MD" w:eastAsia="en-US"/>
              </w:rPr>
            </w:pPr>
            <w:r w:rsidRPr="00FD7B82">
              <w:rPr>
                <w:rFonts w:ascii="Times New Roman" w:eastAsia="Times New Roman" w:hAnsi="Times New Roman"/>
                <w:sz w:val="24"/>
                <w:szCs w:val="20"/>
                <w:lang w:val="ro-MD" w:eastAsia="en-US"/>
              </w:rPr>
              <w:t xml:space="preserve">Acest document acoperă cele 5 dimensiuni ale Uniunii Energetice: (i) Decarbonizare, (ii) Eficiență energetică, (iii) Securitate energetică, (iv) Piață internă a energiei și (v) Cercetare, inovare și competitivitate. </w:t>
            </w:r>
          </w:p>
          <w:p w14:paraId="5D3BED3D" w14:textId="24E05734" w:rsidR="00FD7B82" w:rsidRDefault="00FD7B82" w:rsidP="00FD7B82">
            <w:pPr>
              <w:spacing w:before="60" w:after="60" w:line="240" w:lineRule="auto"/>
              <w:ind w:firstLine="601"/>
              <w:jc w:val="both"/>
              <w:rPr>
                <w:rFonts w:ascii="Times New Roman" w:eastAsia="Times New Roman" w:hAnsi="Times New Roman"/>
                <w:sz w:val="24"/>
                <w:szCs w:val="20"/>
                <w:lang w:val="ro-MD" w:eastAsia="en-US"/>
              </w:rPr>
            </w:pPr>
            <w:r w:rsidRPr="00FD7B82">
              <w:rPr>
                <w:rFonts w:ascii="Times New Roman" w:eastAsia="Times New Roman" w:hAnsi="Times New Roman"/>
                <w:b/>
                <w:sz w:val="24"/>
                <w:szCs w:val="20"/>
                <w:lang w:val="ro-MD" w:eastAsia="en-US"/>
              </w:rPr>
              <w:t>Obiectivul principal</w:t>
            </w:r>
            <w:r w:rsidRPr="00FD7B82">
              <w:rPr>
                <w:rFonts w:ascii="Times New Roman" w:eastAsia="Times New Roman" w:hAnsi="Times New Roman"/>
                <w:sz w:val="24"/>
                <w:szCs w:val="20"/>
                <w:lang w:val="ro-MD" w:eastAsia="en-US"/>
              </w:rPr>
              <w:t xml:space="preserve"> al documentului rezidă în conturarea unui cadru național coerent și comprehensiv de politici publice și de investiții care există, sunt planificate sau sunt posibile de a fi propuse spre implementare în domeniul energiei și climei în perioada 202</w:t>
            </w:r>
            <w:r>
              <w:rPr>
                <w:rFonts w:ascii="Times New Roman" w:eastAsia="Times New Roman" w:hAnsi="Times New Roman"/>
                <w:sz w:val="24"/>
                <w:szCs w:val="20"/>
                <w:lang w:val="ro-MD" w:eastAsia="en-US"/>
              </w:rPr>
              <w:t>4</w:t>
            </w:r>
            <w:r w:rsidRPr="00FD7B82">
              <w:rPr>
                <w:rFonts w:ascii="Times New Roman" w:eastAsia="Times New Roman" w:hAnsi="Times New Roman"/>
                <w:sz w:val="24"/>
                <w:szCs w:val="20"/>
                <w:lang w:val="ro-MD" w:eastAsia="en-US"/>
              </w:rPr>
              <w:t xml:space="preserve"> – 2030. Prin elaborarea unei viziuni privind dezvoltarea domeniului energie și climă pe termen lung până în anul 2050, PNEC setează o foaie de parcurs a tranziției economice și a sistemelor energetice spre un viitor durabil. Măsurile care fac parte din acest cadru se referă în principal la atingerea țintelor naționale pentru asigurarea securității de aprovizionare cu energie, sporirea eficienței energetice, îmbunătățirea calității mediului înconjurător prin reducerea emisiilor de GES, dezvoltarea surselor de energie regenerabilă, liberalizarea piețelor interne ale energiei și interconectarea sistemului energetic la nivel regional și european.</w:t>
            </w:r>
          </w:p>
          <w:p w14:paraId="7BC0A9F8" w14:textId="2B762E6B" w:rsidR="00FD7B82" w:rsidRPr="009E7044" w:rsidRDefault="00FD7B82" w:rsidP="009E7044">
            <w:pPr>
              <w:spacing w:before="60" w:after="60" w:line="240" w:lineRule="auto"/>
              <w:ind w:left="122"/>
              <w:jc w:val="center"/>
              <w:rPr>
                <w:rFonts w:ascii="Times New Roman" w:eastAsia="Times New Roman" w:hAnsi="Times New Roman"/>
                <w:b/>
                <w:sz w:val="24"/>
                <w:szCs w:val="24"/>
                <w:lang w:val="ro-RO" w:eastAsia="fr-FR"/>
              </w:rPr>
            </w:pPr>
            <w:r w:rsidRPr="009E7044">
              <w:rPr>
                <w:rFonts w:ascii="Times New Roman" w:eastAsia="Times New Roman" w:hAnsi="Times New Roman"/>
                <w:b/>
                <w:sz w:val="24"/>
                <w:szCs w:val="24"/>
                <w:lang w:val="ro-RO" w:eastAsia="fr-FR"/>
              </w:rPr>
              <w:lastRenderedPageBreak/>
              <w:t>Principalele părți componente ale Planului Național integrat privind Energia și Clima</w:t>
            </w:r>
          </w:p>
          <w:p w14:paraId="294587A8" w14:textId="2CE688EB"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eastAsia="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Structura Planului Na</w:t>
            </w:r>
            <w:r w:rsidR="00FD7B82" w:rsidRPr="00FD7B82">
              <w:rPr>
                <w:rFonts w:ascii="Times New Roman" w:hAnsi="Times New Roman"/>
                <w:sz w:val="24"/>
                <w:szCs w:val="24"/>
                <w:lang w:val="ro-RO"/>
              </w:rPr>
              <w:t>ț</w:t>
            </w:r>
            <w:r w:rsidR="00FD7B82" w:rsidRPr="00FD7B82">
              <w:rPr>
                <w:rFonts w:ascii="Times New Roman" w:eastAsia="Times New Roman" w:hAnsi="Times New Roman"/>
                <w:sz w:val="24"/>
                <w:szCs w:val="24"/>
                <w:lang w:val="ro-RO" w:eastAsia="fr-FR"/>
              </w:rPr>
              <w:t xml:space="preserve">ional integrat privind Energia </w:t>
            </w:r>
            <w:r w:rsidR="00FD7B82" w:rsidRPr="00FD7B82">
              <w:rPr>
                <w:rFonts w:ascii="Times New Roman" w:hAnsi="Times New Roman"/>
                <w:sz w:val="24"/>
                <w:szCs w:val="24"/>
                <w:lang w:val="ro-RO"/>
              </w:rPr>
              <w:t>ș</w:t>
            </w:r>
            <w:r w:rsidR="00FD7B82" w:rsidRPr="00FD7B82">
              <w:rPr>
                <w:rFonts w:ascii="Times New Roman" w:eastAsia="Times New Roman" w:hAnsi="Times New Roman"/>
                <w:sz w:val="24"/>
                <w:szCs w:val="24"/>
                <w:lang w:val="ro-RO" w:eastAsia="fr-FR"/>
              </w:rPr>
              <w:t>i Clima este tipizată, iar con</w:t>
            </w:r>
            <w:r w:rsidR="00FD7B82" w:rsidRPr="00FD7B82">
              <w:rPr>
                <w:rFonts w:ascii="Times New Roman" w:hAnsi="Times New Roman"/>
                <w:sz w:val="24"/>
                <w:szCs w:val="24"/>
                <w:lang w:val="ro-RO"/>
              </w:rPr>
              <w:t>ț</w:t>
            </w:r>
            <w:r w:rsidR="00FD7B82" w:rsidRPr="00FD7B82">
              <w:rPr>
                <w:rFonts w:ascii="Times New Roman" w:eastAsia="Times New Roman" w:hAnsi="Times New Roman"/>
                <w:sz w:val="24"/>
                <w:szCs w:val="24"/>
                <w:lang w:val="ro-RO" w:eastAsia="fr-FR"/>
              </w:rPr>
              <w:t xml:space="preserve">inutul acestuia a fost elaborat în corespundere cu prevederile </w:t>
            </w:r>
            <w:r w:rsidR="00FD7B82" w:rsidRPr="00FD7B82">
              <w:rPr>
                <w:rFonts w:ascii="Times New Roman" w:hAnsi="Times New Roman"/>
                <w:sz w:val="24"/>
                <w:szCs w:val="24"/>
                <w:lang w:val="ro-RO"/>
              </w:rPr>
              <w:t>Regulamentului (UE) nr. 2018/1999 privind Guvernanța Uniunii Energetice și a acțiunilor climatice.</w:t>
            </w:r>
          </w:p>
          <w:p w14:paraId="6B71F58C" w14:textId="6CA8E44E"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eastAsia="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Partea introductivă a PNEC este formată dintr-o prezentare generală a sectorului energetic în Republica Moldova</w:t>
            </w:r>
            <w:r w:rsidR="007540AF">
              <w:rPr>
                <w:rFonts w:ascii="Times New Roman" w:eastAsia="Times New Roman" w:hAnsi="Times New Roman"/>
                <w:sz w:val="24"/>
                <w:szCs w:val="24"/>
                <w:lang w:val="ro-RO" w:eastAsia="fr-FR"/>
              </w:rPr>
              <w:t xml:space="preserve"> </w:t>
            </w:r>
            <w:r w:rsidR="007540AF" w:rsidRPr="00FD7B82">
              <w:rPr>
                <w:rFonts w:ascii="Times New Roman" w:hAnsi="Times New Roman"/>
                <w:sz w:val="24"/>
                <w:szCs w:val="24"/>
                <w:lang w:val="ro-RO"/>
              </w:rPr>
              <w:t>ș</w:t>
            </w:r>
            <w:r w:rsidR="007540AF">
              <w:rPr>
                <w:rFonts w:ascii="Times New Roman" w:eastAsia="Times New Roman" w:hAnsi="Times New Roman"/>
                <w:sz w:val="24"/>
                <w:szCs w:val="24"/>
                <w:lang w:val="ro-RO" w:eastAsia="fr-FR"/>
              </w:rPr>
              <w:t>i</w:t>
            </w:r>
            <w:r w:rsidR="00FD7B82" w:rsidRPr="00FD7B82">
              <w:rPr>
                <w:rFonts w:ascii="Times New Roman" w:eastAsia="Times New Roman" w:hAnsi="Times New Roman"/>
                <w:sz w:val="24"/>
                <w:szCs w:val="24"/>
                <w:lang w:val="ro-RO" w:eastAsia="fr-FR"/>
              </w:rPr>
              <w:t xml:space="preserve"> descrie conexiunile PNEC cu Strategia Națională de Dezvoltare „Moldova Europeană 2030”, Programul de activitate al Guvernului și angajamentele internaționale asumate de Guvern.</w:t>
            </w:r>
          </w:p>
          <w:p w14:paraId="0DE5DA92" w14:textId="05F8966F"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eastAsia="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Abordarea unitară a domeniilor energie și climă reprezintă o caracteristică esențială a documentului, aceasta decurge din abordarea integrată a celor 5 dimensiuni ale Uniunii Energetice și asigură consistența sa cu obiectivele pe termen lung ale cadrului de politici publice în contextul angajamentelor asumate față de Uniunea Europeană, Comunitatea Energetică și CONUSC.</w:t>
            </w:r>
          </w:p>
          <w:p w14:paraId="07879D48" w14:textId="5C09C133" w:rsid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eastAsia="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PNEC se bazează pe descrierea, modelarea și analiza a două scenarii: în baza  politicilor și măsurilor sau grupurilor de măsuri </w:t>
            </w:r>
            <w:r w:rsidR="00FD7B82" w:rsidRPr="00FD7B82">
              <w:rPr>
                <w:rFonts w:ascii="Times New Roman" w:eastAsia="Times New Roman" w:hAnsi="Times New Roman"/>
                <w:b/>
                <w:sz w:val="24"/>
                <w:szCs w:val="24"/>
                <w:lang w:val="ro-RO" w:eastAsia="fr-FR"/>
              </w:rPr>
              <w:t>existente</w:t>
            </w:r>
            <w:r w:rsidR="00FD7B82" w:rsidRPr="00FD7B82">
              <w:rPr>
                <w:rFonts w:ascii="Times New Roman" w:eastAsia="Times New Roman" w:hAnsi="Times New Roman"/>
                <w:sz w:val="24"/>
                <w:szCs w:val="24"/>
                <w:lang w:val="ro-RO" w:eastAsia="fr-FR"/>
              </w:rPr>
              <w:t xml:space="preserve">, și în baza politicilor și măsurilor sau grupurilor de măsuri </w:t>
            </w:r>
            <w:r w:rsidR="00FD7B82" w:rsidRPr="00FD7B82">
              <w:rPr>
                <w:rFonts w:ascii="Times New Roman" w:eastAsia="Times New Roman" w:hAnsi="Times New Roman"/>
                <w:b/>
                <w:sz w:val="24"/>
                <w:szCs w:val="24"/>
                <w:lang w:val="ro-RO" w:eastAsia="fr-FR"/>
              </w:rPr>
              <w:t>planificate</w:t>
            </w:r>
            <w:r w:rsidR="00FD7B82" w:rsidRPr="00FD7B82">
              <w:rPr>
                <w:rFonts w:ascii="Times New Roman" w:eastAsia="Times New Roman" w:hAnsi="Times New Roman"/>
                <w:sz w:val="24"/>
                <w:szCs w:val="24"/>
                <w:lang w:val="ro-RO" w:eastAsia="fr-FR"/>
              </w:rPr>
              <w:t xml:space="preserve">. Din această perspectivă, realizarea obiectivelor și atingerea țintelor fixate de CEn și asumate de Republica Moldova în baza tratatelor internaționale va fi realizată prin implementarea scenariului cu măsuri planificate, scenariul cu măsuri existente servind în calitate de cadru de referință de tip </w:t>
            </w:r>
            <w:r w:rsidR="00FD7B82" w:rsidRPr="00FD7B82">
              <w:rPr>
                <w:rFonts w:ascii="Times New Roman" w:eastAsia="Times New Roman" w:hAnsi="Times New Roman"/>
                <w:i/>
                <w:sz w:val="24"/>
                <w:szCs w:val="24"/>
                <w:lang w:val="ro-RO" w:eastAsia="fr-FR"/>
              </w:rPr>
              <w:t>business as usual</w:t>
            </w:r>
            <w:r w:rsidR="00FD7B82" w:rsidRPr="00FD7B82">
              <w:rPr>
                <w:rFonts w:ascii="Times New Roman" w:eastAsia="Times New Roman" w:hAnsi="Times New Roman"/>
                <w:sz w:val="24"/>
                <w:szCs w:val="24"/>
                <w:lang w:val="ro-RO" w:eastAsia="fr-FR"/>
              </w:rPr>
              <w:t>.</w:t>
            </w:r>
          </w:p>
          <w:p w14:paraId="0C27FC52" w14:textId="77777777" w:rsidR="009E7044"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p>
          <w:p w14:paraId="78A979D1" w14:textId="600133C0" w:rsidR="00FD7B82" w:rsidRPr="00FD7B82" w:rsidRDefault="009E7044" w:rsidP="00FD7B82">
            <w:pPr>
              <w:spacing w:before="60" w:after="60" w:line="240" w:lineRule="auto"/>
              <w:ind w:left="122"/>
              <w:jc w:val="both"/>
              <w:rPr>
                <w:rFonts w:ascii="Times New Roman" w:eastAsia="Times New Roman" w:hAnsi="Times New Roman"/>
                <w:b/>
                <w:i/>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b/>
                <w:i/>
                <w:sz w:val="24"/>
                <w:szCs w:val="24"/>
                <w:lang w:val="ro-RO" w:eastAsia="fr-FR"/>
              </w:rPr>
              <w:t>Dimensiunea Securitate energetică</w:t>
            </w:r>
          </w:p>
          <w:p w14:paraId="18B33CA4" w14:textId="10727854"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În condițiile unui grad foarte înalt de dependență a Republicii Moldova față de resursele energetice importate, măsurile ce se referă la asigurarea securității energetice a țării vizează în principal diversificarea furnizorilor de pe piețele externe de energie, încurajarea utilizării resurselor energetice disponibile în țară (biomasă, surse de energie regenerabilă solară și eoliană) și securizarea și diversificarea căilor de import a resurselor energetice.</w:t>
            </w:r>
          </w:p>
          <w:p w14:paraId="2F2A20D8" w14:textId="7D459DD6"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Măsurile propuse spre implementare în sectorul energiei electrice se referă la sporirea gradului de interconectare cu țările membre ale Uniunii Europene prin construcția unor linii de transport a energiei electrice din România și prin finalizarea procesului de sincronizare a sistemului electroenergetic național cu ENTSO-E, după o primă fază a unei sincronizări în regim de urgență ce a avut loc în martie 2022. </w:t>
            </w:r>
          </w:p>
          <w:p w14:paraId="7E3AB9F5" w14:textId="080E4ADD"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În sectorul gazelor naturale măsurile propuse spre implementare pe dimensiunea securității energetice se referă în primul rând la constituirea unei rezerve de gaze naturale (minim 15% din consumul anual de gaze naturale, sau 160 de milioane de metri cubi) și la existența unui acces permanent la această rezervă pentru a asigura în mod neîntrerupt necesitățile consumatorilor.</w:t>
            </w:r>
          </w:p>
          <w:p w14:paraId="2DFCF4C0" w14:textId="23019D44"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Ca urmare a implementării măsurilor prevăzute în PNEC, pierderile de gaze naturale în rețelele de transport și de distribuție se vor diminua de la aproximativ 7% în anul 2022 la aproximativ 3,7% în anul 2030 în scenariul cu măsuri existente, și la aproximativ 3,1% în anul 2030 în scenariul cu măsuri planificate în domeniul energiei din surse regenerabile în sectorul producerii electricității.</w:t>
            </w:r>
          </w:p>
          <w:p w14:paraId="5C463042" w14:textId="3199B14E"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Consumul final de energie este planificat să crească de la aproximativ 2553 ktep în anul 2020 la aprox. 2722 ktep în anul 2030 în scenariul cu măsuri existente, și la aprox. 2575 ktep în anul 2030 în scenariul cu măsuri planificate. Aprovizionarea cu energie primară va crește de la aprox. 2866 ktep în anul 2020 la aprox. 2998 ktep, și, respectiv, la aprox. 2820 ktep în anul 2030, conform celor două scenarii menționate mai sus.</w:t>
            </w:r>
          </w:p>
          <w:p w14:paraId="4F4EA645" w14:textId="0D659626" w:rsidR="009E7044" w:rsidRPr="00FD7B82" w:rsidRDefault="009E7044" w:rsidP="00FD7B82">
            <w:pPr>
              <w:spacing w:before="60" w:after="60" w:line="240" w:lineRule="auto"/>
              <w:ind w:left="122"/>
              <w:jc w:val="both"/>
              <w:rPr>
                <w:rFonts w:ascii="Times New Roman" w:hAnsi="Times New Roman"/>
                <w:sz w:val="24"/>
                <w:szCs w:val="24"/>
                <w:lang w:val="ro-RO"/>
              </w:rPr>
            </w:pPr>
            <w:r>
              <w:rPr>
                <w:rFonts w:ascii="Times New Roman" w:hAnsi="Times New Roman"/>
                <w:sz w:val="24"/>
                <w:szCs w:val="24"/>
                <w:lang w:val="ro-RO" w:eastAsia="fr-FR"/>
              </w:rPr>
              <w:t xml:space="preserve">          </w:t>
            </w:r>
          </w:p>
          <w:p w14:paraId="669861A4" w14:textId="60BE2A60" w:rsidR="00FD7B82" w:rsidRPr="00FD7B82" w:rsidRDefault="009E7044" w:rsidP="00FD7B82">
            <w:pPr>
              <w:spacing w:before="60" w:after="60" w:line="240" w:lineRule="auto"/>
              <w:ind w:left="122"/>
              <w:jc w:val="both"/>
              <w:rPr>
                <w:rFonts w:ascii="Times New Roman" w:eastAsia="Times New Roman" w:hAnsi="Times New Roman"/>
                <w:b/>
                <w:i/>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b/>
                <w:i/>
                <w:sz w:val="24"/>
                <w:szCs w:val="24"/>
                <w:lang w:val="ro-RO" w:eastAsia="fr-FR"/>
              </w:rPr>
              <w:t>Dimensiunea Piață internă a energiei</w:t>
            </w:r>
          </w:p>
          <w:p w14:paraId="7EE6B13B" w14:textId="20A4DA38"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Strategia Energetică a Republicii Moldova fixează integrarea pieței de energie a țării în piața de energie a Uniunii Europene prin îndeplinirea obligațiilor asumate în cadrul Comunității Energetice în calitate de obiectiv strategic al parcursului de integrare europeană. Uniunea </w:t>
            </w:r>
            <w:r w:rsidR="00FD7B82" w:rsidRPr="00FD7B82">
              <w:rPr>
                <w:rFonts w:ascii="Times New Roman" w:eastAsia="Times New Roman" w:hAnsi="Times New Roman"/>
                <w:sz w:val="24"/>
                <w:szCs w:val="24"/>
                <w:lang w:val="ro-RO" w:eastAsia="fr-FR"/>
              </w:rPr>
              <w:lastRenderedPageBreak/>
              <w:t>Europeană oferă sprijin financiar țării noastre pentru transpunerea legislației europene în sectorul energetic și urmărește obiectivul final de integrare în piața de energie a UE. Prin reformele aflate în curs de implementare se urmărește scopul de deschidere, modernizare și liberalizare a pieței interne a energiei, pentru ca aceasta să fie adaptata cerințelor europene cu privire la exportul și importul de energie, integrarea ei în piața de energie a UE, introducerea unor mecanisme de piață noi, ș.a.</w:t>
            </w:r>
          </w:p>
          <w:p w14:paraId="478CBF9C" w14:textId="5692C5F1" w:rsidR="00FD7B82" w:rsidRPr="00FD7B82" w:rsidRDefault="009E704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7540AF">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Guvernul Republicii Moldova este implicat în prezent în procesul de implementare a mai multor proiecte de infrastructură energetică ce vizează diversificarea surselor de aprovizionare cu energie și a căilor de tranzit la nivel regional și continental. </w:t>
            </w:r>
          </w:p>
          <w:p w14:paraId="7D9FAC1E" w14:textId="0C04838F" w:rsidR="00FD7B82" w:rsidRPr="00FD7B82" w:rsidRDefault="009E7044" w:rsidP="00FD7B82">
            <w:pPr>
              <w:spacing w:before="60" w:after="60" w:line="240" w:lineRule="auto"/>
              <w:ind w:left="122"/>
              <w:jc w:val="both"/>
              <w:rPr>
                <w:rFonts w:ascii="Times New Roman" w:hAnsi="Times New Roman"/>
                <w:sz w:val="24"/>
                <w:szCs w:val="24"/>
                <w:lang w:val="ro-RO"/>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În prezent se află în curs de implementare sau de proiectare o serie de măsuri ce vizează îmbunătățirea nivelului de integrare a pieței energiei. Este vorba de măsuri care vor spori flexibilitatea sistemului energetic și va permite în consecință o mai bună integrare a energiei electrice din surse regenerabile. În plus, se prevede implementarea mecanismelor de cuplare a piețelor, a piețelor intra-zilnice și a piețelor transfrontaliere de echilibrare a sistemelor energetice. Un loc aparte în acest context îl ocupă proiectele de susținere a cogenerării de eficiență înaltă și cele de susținere a inițiativelor privind generarea, transportul și utilizarea energiei electrice din surse regenerabile. Măsurile planificate prevăd și protecția drepturilor consumatorilor prin îmbunătățirea competitivității pe piața energiei cu amănuntul. În scopul diminuării vulnerabilității energetice sunt prevăzute mecanisme de protecție și subvenționare a consumatorilor din categoriile social vulnerabile. O serie de măsuri vor fi întreprinse pentru a dezvolta răspunsul la cerere (</w:t>
            </w:r>
            <w:r w:rsidR="00FD7B82" w:rsidRPr="00FD7B82">
              <w:rPr>
                <w:rFonts w:ascii="Times New Roman" w:eastAsia="Times New Roman" w:hAnsi="Times New Roman"/>
                <w:i/>
                <w:iCs/>
                <w:sz w:val="24"/>
                <w:szCs w:val="24"/>
                <w:lang w:val="ro-RO" w:eastAsia="fr-FR"/>
              </w:rPr>
              <w:t>demand side management</w:t>
            </w:r>
            <w:r w:rsidR="00FD7B82" w:rsidRPr="00FD7B82">
              <w:rPr>
                <w:rFonts w:ascii="Times New Roman" w:eastAsia="Times New Roman" w:hAnsi="Times New Roman"/>
                <w:sz w:val="24"/>
                <w:szCs w:val="24"/>
                <w:lang w:val="ro-RO" w:eastAsia="fr-FR"/>
              </w:rPr>
              <w:t>) și pentru a aborda problema stabilirii tarifelor, inclusiv sprijinirea sistemelor de stabilire dinamică a prețurilor.</w:t>
            </w:r>
          </w:p>
          <w:p w14:paraId="174B233D" w14:textId="77777777" w:rsidR="009E7044" w:rsidRDefault="009E7044" w:rsidP="00FD7B82">
            <w:pPr>
              <w:spacing w:before="60" w:after="60" w:line="240" w:lineRule="auto"/>
              <w:ind w:left="122"/>
              <w:jc w:val="both"/>
              <w:rPr>
                <w:rFonts w:ascii="Times New Roman" w:eastAsia="Times New Roman" w:hAnsi="Times New Roman"/>
                <w:b/>
                <w:i/>
                <w:sz w:val="24"/>
                <w:szCs w:val="24"/>
                <w:lang w:val="ro-RO" w:eastAsia="fr-FR"/>
              </w:rPr>
            </w:pPr>
          </w:p>
          <w:p w14:paraId="719B030A" w14:textId="75BE45A4" w:rsidR="00FD7B82" w:rsidRPr="00FD7B82" w:rsidRDefault="009E7044" w:rsidP="00FD7B82">
            <w:pPr>
              <w:spacing w:before="60" w:after="60" w:line="240" w:lineRule="auto"/>
              <w:ind w:left="122"/>
              <w:jc w:val="both"/>
              <w:rPr>
                <w:rFonts w:ascii="Times New Roman" w:eastAsia="Times New Roman" w:hAnsi="Times New Roman"/>
                <w:b/>
                <w:i/>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b/>
                <w:i/>
                <w:sz w:val="24"/>
                <w:szCs w:val="24"/>
                <w:lang w:val="ro-RO" w:eastAsia="fr-FR"/>
              </w:rPr>
              <w:t>Dimensiunea Eficiență energetică</w:t>
            </w:r>
          </w:p>
          <w:p w14:paraId="0E1C6974" w14:textId="7837233E" w:rsidR="00FD7B82" w:rsidRPr="00FD7B82" w:rsidRDefault="009E7044" w:rsidP="007540AF">
            <w:pPr>
              <w:spacing w:before="60" w:after="60" w:line="240" w:lineRule="auto"/>
              <w:ind w:left="122"/>
              <w:jc w:val="both"/>
              <w:rPr>
                <w:rFonts w:ascii="Times New Roman" w:hAnsi="Times New Roman"/>
                <w:sz w:val="24"/>
                <w:szCs w:val="24"/>
                <w:lang w:val="ro-RO"/>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Guvernul Republicii Moldova și-a asumat responsabilitatea să implementeze în fiecare an măsuri de eficiență energetică clădiri publice care acoperă minim 3% din suprafața totală a clădirilor autorităților administrației publice centrale de specialitate. Crearea unui sistem informațional de management al energiei va permite monitorizarea consumului de energie și apă în clădiri, fapt care va conduce la economisirea anuală a unor resurse financiare estimate între 80 și 300 de milioane de lei.</w:t>
            </w:r>
            <w:r w:rsidR="007540AF">
              <w:rPr>
                <w:rFonts w:ascii="Times New Roman" w:eastAsia="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În conformitate cu cadrul stabilit de Legea cu privire la eficiența energetică, Guvernul monitorizează investițiile capitale în proiecte care generează economii de energie, în sectorul public și cel privat. </w:t>
            </w:r>
          </w:p>
          <w:p w14:paraId="36798393" w14:textId="0D28137C"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Totodată, Legea cu privire la eficiență energetică prevede implementarea unor mecanisme care ar permite, începând cu anul 2024, economisirea a minim 0,8% din valoarea consumului brut mediu de energie înregistrat între 1 ianuarie 2019 și 1 ianuarie 2022. O prevedere importantă a Legii se referă la echiparea consumatorilor cu contoare inteligente / „</w:t>
            </w:r>
            <w:r w:rsidR="00FD7B82" w:rsidRPr="00FD7B82">
              <w:rPr>
                <w:rFonts w:ascii="Times New Roman" w:eastAsia="Times New Roman" w:hAnsi="Times New Roman"/>
                <w:i/>
                <w:iCs/>
                <w:sz w:val="24"/>
                <w:szCs w:val="24"/>
                <w:lang w:val="ro-RO" w:eastAsia="fr-FR"/>
              </w:rPr>
              <w:t>smart</w:t>
            </w:r>
            <w:r w:rsidR="00FD7B82" w:rsidRPr="00FD7B82">
              <w:rPr>
                <w:rFonts w:ascii="Times New Roman" w:eastAsia="Times New Roman" w:hAnsi="Times New Roman"/>
                <w:sz w:val="24"/>
                <w:szCs w:val="24"/>
                <w:lang w:val="ro-RO" w:eastAsia="fr-FR"/>
              </w:rPr>
              <w:t xml:space="preserve">” de către distribuitorii de energie, dacă poate fi argumentat faptul că această măsură este fezabilă din punct de vedere tehnic și cost-eficientă în plan financiar. </w:t>
            </w:r>
          </w:p>
          <w:p w14:paraId="6EB97CF6" w14:textId="0070F6C8"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Legea cu privire la eficiența energetică prevede creșterea rolului Agenției pentru Eficiență Energetică în promovarea politicii de stat din domeniu. Astfel, instituția va implementa un mecanism de subvenționare a consumului de resurse energetice și de finanțare a proiectelor în sectorul rezidențial, ca instrument de contracarare a vulnerabilității energetice.</w:t>
            </w:r>
          </w:p>
          <w:p w14:paraId="5CFBCC0C" w14:textId="61B6F43B"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bookmarkStart w:id="0" w:name="_Hlk157339134"/>
            <w:r w:rsidR="00FD7B82" w:rsidRPr="00FD7B82">
              <w:rPr>
                <w:rFonts w:ascii="Times New Roman" w:eastAsia="Times New Roman" w:hAnsi="Times New Roman"/>
                <w:sz w:val="24"/>
                <w:szCs w:val="24"/>
                <w:lang w:val="ro-RO" w:eastAsia="fr-FR"/>
              </w:rPr>
              <w:t xml:space="preserve">Legea nr. 92/2014 cu privire la energia termică și promovarea cogenerării reglementează activitatea sistemelor de alimentare centralizată cu energie termică, cu scopul de a îmbunătăți eficiența energetică și de a diminua efectele negative ale sub-sectorului energie termică asupra mediului înconjurător, inclusiv prin folosirea tehnologiilor moderne de cogenerare. PNEC evaluează potențialul utilizării cogenerării eficiente în Republica Moldova și prevede o serie de măsuri pentru modernizarea capacităților de generare existente, creșterea nivelului de interconectare a surselor de energie, utilizarea tehnologiilor de tip încărcare inteligentă / </w:t>
            </w:r>
            <w:r w:rsidR="00FD7B82" w:rsidRPr="00FD7B82">
              <w:rPr>
                <w:rFonts w:ascii="Times New Roman" w:eastAsia="Times New Roman" w:hAnsi="Times New Roman"/>
                <w:i/>
                <w:sz w:val="24"/>
                <w:szCs w:val="24"/>
                <w:lang w:val="ro-RO" w:eastAsia="fr-FR"/>
              </w:rPr>
              <w:t xml:space="preserve">„smart </w:t>
            </w:r>
            <w:r w:rsidR="00FD7B82" w:rsidRPr="00FD7B82">
              <w:rPr>
                <w:rFonts w:ascii="Times New Roman" w:eastAsia="Times New Roman" w:hAnsi="Times New Roman"/>
                <w:i/>
                <w:sz w:val="24"/>
                <w:szCs w:val="24"/>
                <w:lang w:val="ro-RO" w:eastAsia="fr-FR"/>
              </w:rPr>
              <w:lastRenderedPageBreak/>
              <w:t>charging”</w:t>
            </w:r>
            <w:r w:rsidR="00FD7B82" w:rsidRPr="00FD7B82">
              <w:rPr>
                <w:rFonts w:ascii="Times New Roman" w:eastAsia="Times New Roman" w:hAnsi="Times New Roman"/>
                <w:sz w:val="24"/>
                <w:szCs w:val="24"/>
                <w:lang w:val="ro-RO" w:eastAsia="fr-FR"/>
              </w:rPr>
              <w:t xml:space="preserve"> pentru vehiculele electrice (</w:t>
            </w:r>
            <w:r w:rsidR="00FD7B82" w:rsidRPr="00FD7B82">
              <w:rPr>
                <w:rFonts w:ascii="Times New Roman" w:eastAsia="Times New Roman" w:hAnsi="Times New Roman"/>
                <w:i/>
                <w:iCs/>
                <w:sz w:val="24"/>
                <w:szCs w:val="24"/>
                <w:lang w:val="ro-RO" w:eastAsia="fr-FR"/>
              </w:rPr>
              <w:t>Vehicle-to-Grid</w:t>
            </w:r>
            <w:r w:rsidR="00FD7B82" w:rsidRPr="00FD7B82">
              <w:rPr>
                <w:rFonts w:ascii="Times New Roman" w:eastAsia="Times New Roman" w:hAnsi="Times New Roman"/>
                <w:sz w:val="24"/>
                <w:szCs w:val="24"/>
                <w:lang w:val="ro-RO" w:eastAsia="fr-FR"/>
              </w:rPr>
              <w:t>), aplicarea tarifelor în funcție de momentul utilizării, etc.</w:t>
            </w:r>
          </w:p>
          <w:p w14:paraId="42CFCABE" w14:textId="55802F99"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Legea nr. 128/2014 privind performanța energetică a clădirilor stabilește cerințe cu privire la cadrul general pentru metodologia de calcul al performanței energetice a clădirilor și aplicarea cerințelor minime de performanță energetică pentru clădirile noi, cele existente atunci când acestea sunt supuse unor renovări majore, elementele care fac parte din anvelopa clădirii și sistemele tehnice ale clădirilor în caz de instalare, modernizare și înlocuire a acestora. </w:t>
            </w:r>
          </w:p>
          <w:p w14:paraId="38A1A175" w14:textId="2799D509" w:rsidR="00FD7B82" w:rsidRPr="00FD7B82" w:rsidRDefault="00207B2D"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eastAsia="Times New Roman" w:hAnsi="Times New Roman"/>
                <w:sz w:val="24"/>
                <w:szCs w:val="24"/>
                <w:lang w:val="ro-RO" w:eastAsia="fr-FR"/>
              </w:rPr>
              <w:t xml:space="preserve">           </w:t>
            </w:r>
            <w:bookmarkEnd w:id="0"/>
            <w:r w:rsidR="00FD7B82" w:rsidRPr="00FD7B82">
              <w:rPr>
                <w:rFonts w:ascii="Times New Roman" w:eastAsia="Times New Roman" w:hAnsi="Times New Roman"/>
                <w:sz w:val="24"/>
                <w:szCs w:val="24"/>
                <w:lang w:val="ro-RO" w:eastAsia="fr-FR"/>
              </w:rPr>
              <w:t xml:space="preserve">PNEC conține o proiecție a evoluției intensității energetice și intra-sectorială până în anul 2030, care pune în evidență un trend descrescător, în acord cu tendințele similare proiectate la nivel european. </w:t>
            </w:r>
          </w:p>
          <w:p w14:paraId="15D6517F" w14:textId="77777777" w:rsidR="00526E74" w:rsidRDefault="00526E74" w:rsidP="00FD7B82">
            <w:pPr>
              <w:spacing w:before="60" w:after="60" w:line="240" w:lineRule="auto"/>
              <w:ind w:left="122"/>
              <w:jc w:val="both"/>
              <w:rPr>
                <w:rFonts w:ascii="Times New Roman" w:hAnsi="Times New Roman"/>
                <w:sz w:val="24"/>
                <w:szCs w:val="24"/>
                <w:lang w:val="ro-RO" w:eastAsia="fr-FR"/>
              </w:rPr>
            </w:pPr>
            <w:r>
              <w:rPr>
                <w:rFonts w:ascii="Times New Roman" w:hAnsi="Times New Roman"/>
                <w:sz w:val="24"/>
                <w:szCs w:val="24"/>
                <w:lang w:val="ro-RO" w:eastAsia="fr-FR"/>
              </w:rPr>
              <w:t xml:space="preserve">           </w:t>
            </w:r>
          </w:p>
          <w:p w14:paraId="2BBBD574" w14:textId="1C6ADF86" w:rsidR="00FD7B82" w:rsidRPr="00FD7B82" w:rsidRDefault="00526E74" w:rsidP="00FD7B82">
            <w:pPr>
              <w:spacing w:before="60" w:after="60" w:line="240" w:lineRule="auto"/>
              <w:ind w:left="122"/>
              <w:jc w:val="both"/>
              <w:rPr>
                <w:rFonts w:ascii="Times New Roman" w:eastAsia="Times New Roman" w:hAnsi="Times New Roman"/>
                <w:b/>
                <w:i/>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b/>
                <w:i/>
                <w:sz w:val="24"/>
                <w:szCs w:val="24"/>
                <w:lang w:val="ro-RO" w:eastAsia="fr-FR"/>
              </w:rPr>
              <w:t>Dimensiunea Decarbonizare</w:t>
            </w:r>
          </w:p>
          <w:p w14:paraId="5FF895B6" w14:textId="6035D41B"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Progresul pe această dimensiune este condiționat de dezvoltarea unui cadru de politici publice și instituțional care favorizează implementarea unui set de măsuri orientate spre reducerea emisiilor de gaze cu efect de seră. O atenție deosebită în acest context este acordată tematicii legate de generarea, utilizarea și promovarea energiei din surse regenerabile. Cadrul de reglementare național în domeniul surselor de energie regenerabilă este în curs de aliniere la Pachetul Energie Curată (</w:t>
            </w:r>
            <w:r w:rsidR="00FD7B82" w:rsidRPr="00FD7B82">
              <w:rPr>
                <w:rFonts w:ascii="Times New Roman" w:eastAsia="Times New Roman" w:hAnsi="Times New Roman"/>
                <w:i/>
                <w:sz w:val="24"/>
                <w:szCs w:val="24"/>
                <w:lang w:val="ro-RO" w:eastAsia="fr-FR"/>
              </w:rPr>
              <w:t>Clean Energy Package</w:t>
            </w:r>
            <w:r w:rsidR="00FD7B82" w:rsidRPr="00FD7B82">
              <w:rPr>
                <w:rFonts w:ascii="Times New Roman" w:eastAsia="Times New Roman" w:hAnsi="Times New Roman"/>
                <w:sz w:val="24"/>
                <w:szCs w:val="24"/>
                <w:lang w:val="ro-RO" w:eastAsia="fr-FR"/>
              </w:rPr>
              <w:t>) al Uniunii Europene.</w:t>
            </w:r>
          </w:p>
          <w:p w14:paraId="5E944766" w14:textId="2B8F5E7F"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În calitate de țară semnatară a Acordurilor de la Paris (2015), Republica Moldova și-a asumat angajamentul de a contribui la efortul internațional de limitare a efectului de încălzire globală “cu mult sub 2 °C” față de nivelul preindustrial. În acest sens, țara noastră a prezentat în anul 2020 la Secretariatul CONUSC cea de-a 2-a Contribuție Națională Determinată care definește ținte noi de reducere a emisiilor de gaze cu efect de seră. În scenariul necondiționat (fără vreun suport adițional), ținta respectivă preconizează o reducere a emisiilor de GES cu 70% în anul 2030 față de nivelul anului de referință 1990. Este semnificativ faptul, că în conformitate cu Raportul Național de Inventariere, emisiile de GES înregistrate în anul 2020 erau cu 69,5% mai reduse decât în anul de referință 1990. Ținta de reducere a emisiilor de GES într-un scenariu condiționat (care ține cont de disponibilitatea sporită a tehnologiilor, </w:t>
            </w:r>
            <w:r w:rsidR="00FD7B82" w:rsidRPr="00FD7B82">
              <w:rPr>
                <w:rFonts w:ascii="Times New Roman" w:eastAsia="Times New Roman" w:hAnsi="Times New Roman"/>
                <w:i/>
                <w:sz w:val="24"/>
                <w:szCs w:val="24"/>
                <w:lang w:val="ro-RO" w:eastAsia="fr-FR"/>
              </w:rPr>
              <w:t>know-how</w:t>
            </w:r>
            <w:r w:rsidR="00FD7B82" w:rsidRPr="00FD7B82">
              <w:rPr>
                <w:rFonts w:ascii="Times New Roman" w:eastAsia="Times New Roman" w:hAnsi="Times New Roman"/>
                <w:sz w:val="24"/>
                <w:szCs w:val="24"/>
                <w:lang w:val="ro-RO" w:eastAsia="fr-FR"/>
              </w:rPr>
              <w:t>-ului și resurselor financiare) este evaluată la 88% în anul 2030 în comparație cu anul de referință 1990. Modalitatea de atingere a acestor ținte reieșind din situația actuală și din proiecțiile pentru anii următori este explicată în cea de a Cincea Comunicare Națională către CONUSC.</w:t>
            </w:r>
          </w:p>
          <w:p w14:paraId="2363D9E6" w14:textId="25212D9A"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Consiliul Ministerial al Comunității Energetice a adoptat în decembrie 2022 un amendament la </w:t>
            </w:r>
            <w:r w:rsidR="00FD7B82" w:rsidRPr="00FD7B82">
              <w:rPr>
                <w:rFonts w:ascii="Times New Roman" w:hAnsi="Times New Roman"/>
                <w:sz w:val="24"/>
                <w:szCs w:val="24"/>
                <w:lang w:val="ro-RO"/>
              </w:rPr>
              <w:t>Regulamentul (UE) nr. 2018/1999 privind Guvernanța Uniunii Energetice</w:t>
            </w:r>
            <w:r w:rsidR="00FD7B82" w:rsidRPr="00FD7B82">
              <w:rPr>
                <w:rFonts w:ascii="Times New Roman" w:eastAsia="Times New Roman" w:hAnsi="Times New Roman"/>
                <w:sz w:val="24"/>
                <w:szCs w:val="24"/>
                <w:lang w:val="ro-RO" w:eastAsia="fr-FR"/>
              </w:rPr>
              <w:t xml:space="preserve"> prin care au fost introduse țintele pentru anul 2030 pentru fiecare parte contractantă. Astfel, conform modelărilor, în cazul scenariului cu măsuri adiționale către anul 2030, în Republica Moldova ponderea energiei din surse regenerabile în energia finală consumată este planificată să crească de la 25,1% în anul 2020 la (cel puțin) 31,4% în anul 2030. În sub-sectorul generare de energie electrică ponderea de energie din surse regenerabile este planificată să crească de la 3,1% în anul 2020 la 34,1%. Această creștere va fi atinsă ca urmare a creșterii capacităților instalate de energie eoliană până la 600 MW și a capacităților instalate de energie fotovoltaică până la 305 MW către anul 2030. Astfel, până în anul 2030 este preconizată o schimbare calitativă a structurii de energie din surse regenerabile: consumul de energie generată de biomasă în baza tăierilor ilicite de păduri se va reduce în mod semnificativ, în schimb vor fi înregistrate creșteri importante în consumul de energie eoliană și fotovoltaică.</w:t>
            </w:r>
          </w:p>
          <w:p w14:paraId="6876E7AA" w14:textId="2EAD0BE5"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 xml:space="preserve">Modelarea pe dimensiunea Decarbonizare a PNEC a scos în evidență principalele tendințe sectoriale așteptate în anul 2030. Astfel, în </w:t>
            </w:r>
            <w:r w:rsidR="00FD7B82" w:rsidRPr="00FD7B82">
              <w:rPr>
                <w:rFonts w:ascii="Times New Roman" w:eastAsia="Times New Roman" w:hAnsi="Times New Roman"/>
                <w:b/>
                <w:bCs/>
                <w:sz w:val="24"/>
                <w:szCs w:val="24"/>
                <w:lang w:val="ro-RO" w:eastAsia="fr-FR"/>
              </w:rPr>
              <w:t>scenariul cu măsuri existente</w:t>
            </w:r>
            <w:r w:rsidR="00FD7B82" w:rsidRPr="00FD7B82">
              <w:rPr>
                <w:rFonts w:ascii="Times New Roman" w:eastAsia="Times New Roman" w:hAnsi="Times New Roman"/>
                <w:sz w:val="24"/>
                <w:szCs w:val="24"/>
                <w:lang w:val="ro-RO" w:eastAsia="fr-FR"/>
              </w:rPr>
              <w:t>, emisiile de GES în sectorul Energetic pe teritoriile controlate de autoritățile constituționale ale Republicii Moldova se vor diminua de la 5,41 Mt echivalent CO</w:t>
            </w:r>
            <w:r w:rsidR="00FD7B82" w:rsidRPr="00FD7B82">
              <w:rPr>
                <w:rFonts w:ascii="Times New Roman" w:eastAsia="Times New Roman" w:hAnsi="Times New Roman"/>
                <w:sz w:val="24"/>
                <w:szCs w:val="24"/>
                <w:vertAlign w:val="subscript"/>
                <w:lang w:val="ro-RO" w:eastAsia="fr-FR"/>
              </w:rPr>
              <w:t>2</w:t>
            </w:r>
            <w:r w:rsidR="00FD7B82" w:rsidRPr="00FD7B82">
              <w:rPr>
                <w:rFonts w:ascii="Times New Roman" w:eastAsia="Times New Roman" w:hAnsi="Times New Roman"/>
                <w:sz w:val="24"/>
                <w:szCs w:val="24"/>
                <w:lang w:val="ro-RO" w:eastAsia="fr-FR"/>
              </w:rPr>
              <w:t xml:space="preserve"> în anul 2020 la 5,18 Mt ech. CO</w:t>
            </w:r>
            <w:r w:rsidR="00FD7B82" w:rsidRPr="00FD7B82">
              <w:rPr>
                <w:rFonts w:ascii="Times New Roman" w:eastAsia="Times New Roman" w:hAnsi="Times New Roman"/>
                <w:sz w:val="24"/>
                <w:szCs w:val="24"/>
                <w:vertAlign w:val="subscript"/>
                <w:lang w:val="ro-RO" w:eastAsia="fr-FR"/>
              </w:rPr>
              <w:t>2</w:t>
            </w:r>
            <w:r w:rsidR="00FD7B82" w:rsidRPr="00FD7B82">
              <w:rPr>
                <w:rFonts w:ascii="Times New Roman" w:eastAsia="Times New Roman" w:hAnsi="Times New Roman"/>
                <w:sz w:val="24"/>
                <w:szCs w:val="24"/>
                <w:lang w:val="ro-RO" w:eastAsia="fr-FR"/>
              </w:rPr>
              <w:t xml:space="preserve"> în anul 2030. </w:t>
            </w:r>
            <w:r w:rsidRPr="00526E74">
              <w:rPr>
                <w:rFonts w:ascii="Times New Roman" w:hAnsi="Times New Roman"/>
                <w:sz w:val="24"/>
                <w:szCs w:val="24"/>
                <w:lang w:val="ro-RO" w:eastAsia="fr-FR"/>
              </w:rPr>
              <w:t xml:space="preserve">           </w:t>
            </w:r>
            <w:r w:rsidR="00FD7B82" w:rsidRPr="00526E74">
              <w:rPr>
                <w:rFonts w:ascii="Times New Roman" w:eastAsia="Times New Roman" w:hAnsi="Times New Roman"/>
                <w:sz w:val="24"/>
                <w:szCs w:val="24"/>
                <w:lang w:val="ro-RO" w:eastAsia="fr-FR"/>
              </w:rPr>
              <w:t xml:space="preserve">În </w:t>
            </w:r>
            <w:r w:rsidR="00FD7B82" w:rsidRPr="00526E74">
              <w:rPr>
                <w:rFonts w:ascii="Times New Roman" w:eastAsia="Times New Roman" w:hAnsi="Times New Roman"/>
                <w:b/>
                <w:bCs/>
                <w:sz w:val="24"/>
                <w:szCs w:val="24"/>
                <w:lang w:val="ro-RO" w:eastAsia="fr-FR"/>
              </w:rPr>
              <w:t>scenariul cu măsuri planificate</w:t>
            </w:r>
            <w:r w:rsidR="00FD7B82" w:rsidRPr="00526E74">
              <w:rPr>
                <w:rFonts w:ascii="Times New Roman" w:eastAsia="Times New Roman" w:hAnsi="Times New Roman"/>
                <w:sz w:val="24"/>
                <w:szCs w:val="24"/>
                <w:lang w:val="ro-RO" w:eastAsia="fr-FR"/>
              </w:rPr>
              <w:t xml:space="preserve"> evoluți</w:t>
            </w:r>
            <w:r w:rsidR="00207B2D">
              <w:rPr>
                <w:rFonts w:ascii="Times New Roman" w:eastAsia="Times New Roman" w:hAnsi="Times New Roman"/>
                <w:sz w:val="24"/>
                <w:szCs w:val="24"/>
                <w:lang w:val="ro-RO" w:eastAsia="fr-FR"/>
              </w:rPr>
              <w:t>a p</w:t>
            </w:r>
            <w:r w:rsidR="00FD7B82" w:rsidRPr="00526E74">
              <w:rPr>
                <w:rFonts w:ascii="Times New Roman" w:eastAsia="Times New Roman" w:hAnsi="Times New Roman"/>
                <w:sz w:val="24"/>
                <w:szCs w:val="24"/>
                <w:lang w:val="ro-RO" w:eastAsia="fr-FR"/>
              </w:rPr>
              <w:t>rognozat</w:t>
            </w:r>
            <w:r w:rsidR="00207B2D" w:rsidRPr="00FD7B82">
              <w:rPr>
                <w:rFonts w:ascii="Times New Roman" w:eastAsia="Times New Roman" w:hAnsi="Times New Roman"/>
                <w:sz w:val="24"/>
                <w:szCs w:val="24"/>
                <w:lang w:val="ro-RO" w:eastAsia="fr-FR"/>
              </w:rPr>
              <w:t>ă</w:t>
            </w:r>
            <w:r w:rsidR="00FD7B82" w:rsidRPr="00526E74">
              <w:rPr>
                <w:rFonts w:ascii="Times New Roman" w:eastAsia="Times New Roman" w:hAnsi="Times New Roman"/>
                <w:sz w:val="24"/>
                <w:szCs w:val="24"/>
                <w:lang w:val="ro-RO" w:eastAsia="fr-FR"/>
              </w:rPr>
              <w:t xml:space="preserve"> </w:t>
            </w:r>
            <w:r w:rsidR="00207B2D" w:rsidRPr="00FD7B82">
              <w:rPr>
                <w:rFonts w:ascii="Times New Roman" w:eastAsia="Times New Roman" w:hAnsi="Times New Roman"/>
                <w:sz w:val="24"/>
                <w:szCs w:val="24"/>
                <w:lang w:val="ro-RO" w:eastAsia="fr-FR"/>
              </w:rPr>
              <w:t>î</w:t>
            </w:r>
            <w:r w:rsidR="00207B2D">
              <w:rPr>
                <w:rFonts w:ascii="Times New Roman" w:eastAsia="Times New Roman" w:hAnsi="Times New Roman"/>
                <w:sz w:val="24"/>
                <w:szCs w:val="24"/>
                <w:lang w:val="ro-RO" w:eastAsia="fr-FR"/>
              </w:rPr>
              <w:t>n același sector prevede o</w:t>
            </w:r>
            <w:r w:rsidR="00FD7B82" w:rsidRPr="00526E74">
              <w:rPr>
                <w:rFonts w:ascii="Times New Roman" w:eastAsia="Times New Roman" w:hAnsi="Times New Roman"/>
                <w:sz w:val="24"/>
                <w:szCs w:val="24"/>
                <w:lang w:val="ro-RO" w:eastAsia="fr-FR"/>
              </w:rPr>
              <w:t xml:space="preserve"> diminuare de la 5,41 Mt ech. CO</w:t>
            </w:r>
            <w:r w:rsidR="00FD7B82" w:rsidRPr="00526E74">
              <w:rPr>
                <w:rFonts w:ascii="Times New Roman" w:eastAsia="Times New Roman" w:hAnsi="Times New Roman"/>
                <w:sz w:val="24"/>
                <w:szCs w:val="24"/>
                <w:vertAlign w:val="subscript"/>
                <w:lang w:val="ro-RO" w:eastAsia="fr-FR"/>
              </w:rPr>
              <w:t>2</w:t>
            </w:r>
            <w:r w:rsidR="00FD7B82" w:rsidRPr="00526E74">
              <w:rPr>
                <w:rFonts w:ascii="Times New Roman" w:eastAsia="Times New Roman" w:hAnsi="Times New Roman"/>
                <w:sz w:val="24"/>
                <w:szCs w:val="24"/>
                <w:lang w:val="ro-RO" w:eastAsia="fr-FR"/>
              </w:rPr>
              <w:t xml:space="preserve"> în anul 2020 la 4,90 Mt ech. CO</w:t>
            </w:r>
            <w:r w:rsidR="00FD7B82" w:rsidRPr="00526E74">
              <w:rPr>
                <w:rFonts w:ascii="Times New Roman" w:eastAsia="Times New Roman" w:hAnsi="Times New Roman"/>
                <w:sz w:val="24"/>
                <w:szCs w:val="24"/>
                <w:vertAlign w:val="subscript"/>
                <w:lang w:val="ro-RO" w:eastAsia="fr-FR"/>
              </w:rPr>
              <w:t>2</w:t>
            </w:r>
            <w:r w:rsidR="00FD7B82" w:rsidRPr="00526E74">
              <w:rPr>
                <w:rFonts w:ascii="Times New Roman" w:eastAsia="Times New Roman" w:hAnsi="Times New Roman"/>
                <w:sz w:val="24"/>
                <w:szCs w:val="24"/>
                <w:lang w:val="ro-RO" w:eastAsia="fr-FR"/>
              </w:rPr>
              <w:t xml:space="preserve"> în anul 2030</w:t>
            </w:r>
            <w:r w:rsidR="00207B2D">
              <w:rPr>
                <w:rFonts w:ascii="Times New Roman" w:eastAsia="Times New Roman" w:hAnsi="Times New Roman"/>
                <w:sz w:val="24"/>
                <w:szCs w:val="24"/>
                <w:lang w:val="ro-RO" w:eastAsia="fr-FR"/>
              </w:rPr>
              <w:t>.</w:t>
            </w:r>
          </w:p>
          <w:p w14:paraId="6C6E3AFA" w14:textId="77777777" w:rsidR="00526E74" w:rsidRDefault="00526E74" w:rsidP="00FD7B82">
            <w:pPr>
              <w:spacing w:before="60" w:after="60" w:line="240" w:lineRule="auto"/>
              <w:ind w:left="122"/>
              <w:jc w:val="both"/>
              <w:rPr>
                <w:rFonts w:ascii="Times New Roman" w:hAnsi="Times New Roman"/>
                <w:sz w:val="24"/>
                <w:szCs w:val="24"/>
                <w:lang w:val="ro-RO" w:eastAsia="fr-FR"/>
              </w:rPr>
            </w:pPr>
            <w:r>
              <w:rPr>
                <w:rFonts w:ascii="Times New Roman" w:hAnsi="Times New Roman"/>
                <w:sz w:val="24"/>
                <w:szCs w:val="24"/>
                <w:lang w:val="ro-RO" w:eastAsia="fr-FR"/>
              </w:rPr>
              <w:lastRenderedPageBreak/>
              <w:t xml:space="preserve">           </w:t>
            </w:r>
          </w:p>
          <w:p w14:paraId="34A24DA9" w14:textId="1C4262FB" w:rsidR="00FD7B82" w:rsidRPr="00FD7B82" w:rsidRDefault="00526E74" w:rsidP="00FD7B82">
            <w:pPr>
              <w:spacing w:before="60" w:after="60" w:line="240" w:lineRule="auto"/>
              <w:ind w:left="122"/>
              <w:jc w:val="both"/>
              <w:rPr>
                <w:rFonts w:ascii="Times New Roman" w:eastAsia="Times New Roman" w:hAnsi="Times New Roman"/>
                <w:b/>
                <w:i/>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b/>
                <w:i/>
                <w:sz w:val="24"/>
                <w:szCs w:val="24"/>
                <w:lang w:val="ro-RO" w:eastAsia="fr-FR"/>
              </w:rPr>
              <w:t>Dimensiunea Cercetare, inovare și competitivitate</w:t>
            </w:r>
          </w:p>
          <w:p w14:paraId="518A0B42" w14:textId="3B771326" w:rsidR="00FD7B82" w:rsidRPr="00FD7B82" w:rsidRDefault="00526E74" w:rsidP="00FD7B82">
            <w:pPr>
              <w:spacing w:before="60" w:after="60" w:line="240" w:lineRule="auto"/>
              <w:ind w:left="122"/>
              <w:jc w:val="both"/>
              <w:rPr>
                <w:rFonts w:ascii="Times New Roman" w:eastAsia="Times New Roman" w:hAnsi="Times New Roman"/>
                <w:sz w:val="24"/>
                <w:szCs w:val="24"/>
                <w:lang w:val="ro-RO" w:eastAsia="fr-FR"/>
              </w:rPr>
            </w:pPr>
            <w:r>
              <w:rPr>
                <w:rFonts w:ascii="Times New Roman" w:hAnsi="Times New Roman"/>
                <w:sz w:val="24"/>
                <w:szCs w:val="24"/>
                <w:lang w:val="ro-RO" w:eastAsia="fr-FR"/>
              </w:rPr>
              <w:t xml:space="preserve">           </w:t>
            </w:r>
            <w:r w:rsidR="00FD7B82" w:rsidRPr="00FD7B82">
              <w:rPr>
                <w:rFonts w:ascii="Times New Roman" w:eastAsia="Times New Roman" w:hAnsi="Times New Roman"/>
                <w:sz w:val="24"/>
                <w:szCs w:val="24"/>
                <w:lang w:val="ro-RO" w:eastAsia="fr-FR"/>
              </w:rPr>
              <w:t>Funcționarea cadrului instituțional actual al Republicii Moldova în domeniul cercetare, inovare și competitivitate se bazează pe o serie de documente de politici publice care asigură o distribuție clar delimitată a rolurilor și responsabilităților și oferă instrumente pentru punerea în practică a obiectivelor prevăzute în documentele strategice. Programul Național în domeniile Cercetării și Inovării pentru anii 2020 – 2023 a unificat mai multe arii anterior fragmentate și este prevăzut să fie implementat în baza unui Plan de acțiuni care definește etapele pentru atingerea obiectivelor stabilite. Programul este aliniat cu obiectivele documentelor de politici publice relevante pentru domeniile educație, întreprinderi mici și mijlocii, și dezvoltare industrială.</w:t>
            </w:r>
          </w:p>
          <w:p w14:paraId="37DECC07" w14:textId="17EE2250" w:rsidR="00FD7B82" w:rsidRPr="00FD7B82" w:rsidRDefault="00526E74" w:rsidP="00FD7B82">
            <w:pPr>
              <w:spacing w:before="60" w:after="60" w:line="240" w:lineRule="auto"/>
              <w:ind w:left="122"/>
              <w:jc w:val="both"/>
              <w:rPr>
                <w:rFonts w:ascii="Times New Roman" w:hAnsi="Times New Roman"/>
                <w:sz w:val="24"/>
                <w:szCs w:val="24"/>
                <w:lang w:val="ro-RO"/>
              </w:rPr>
            </w:pPr>
            <w:r>
              <w:rPr>
                <w:rFonts w:ascii="Times New Roman" w:hAnsi="Times New Roman"/>
                <w:sz w:val="24"/>
                <w:szCs w:val="24"/>
                <w:lang w:val="ro-RO" w:eastAsia="fr-FR"/>
              </w:rPr>
              <w:t xml:space="preserve">           </w:t>
            </w:r>
            <w:r w:rsidR="00FD7B82" w:rsidRPr="00FD7B82">
              <w:rPr>
                <w:rFonts w:ascii="Times New Roman" w:hAnsi="Times New Roman"/>
                <w:sz w:val="24"/>
                <w:szCs w:val="24"/>
                <w:lang w:val="ro-RO"/>
              </w:rPr>
              <w:t xml:space="preserve">Sistemul </w:t>
            </w:r>
            <w:r w:rsidR="00207B2D" w:rsidRPr="00FD7B82">
              <w:rPr>
                <w:rFonts w:ascii="Times New Roman" w:hAnsi="Times New Roman"/>
                <w:sz w:val="24"/>
                <w:szCs w:val="24"/>
                <w:lang w:val="ro-RO"/>
              </w:rPr>
              <w:t>național</w:t>
            </w:r>
            <w:r w:rsidR="00FD7B82" w:rsidRPr="00FD7B82">
              <w:rPr>
                <w:rFonts w:ascii="Times New Roman" w:hAnsi="Times New Roman"/>
                <w:sz w:val="24"/>
                <w:szCs w:val="24"/>
                <w:lang w:val="ro-RO"/>
              </w:rPr>
              <w:t xml:space="preserve"> de inovare din Republica Moldova este reglementat de mai multe acte normative (unele dintre acestea fiind abrogate recent, actele normative înlocuitoare fiind în proces de elaborare): </w:t>
            </w:r>
          </w:p>
          <w:p w14:paraId="7945F557" w14:textId="77777777" w:rsidR="00FD7B82" w:rsidRPr="00FD7B82" w:rsidRDefault="00FD7B82" w:rsidP="00FD7B82">
            <w:pPr>
              <w:pStyle w:val="ListParagraph"/>
              <w:numPr>
                <w:ilvl w:val="0"/>
                <w:numId w:val="11"/>
              </w:numPr>
              <w:spacing w:before="60" w:after="60" w:line="240" w:lineRule="auto"/>
              <w:ind w:left="122" w:hanging="357"/>
              <w:jc w:val="both"/>
              <w:rPr>
                <w:rFonts w:ascii="Times New Roman" w:hAnsi="Times New Roman"/>
                <w:sz w:val="24"/>
                <w:szCs w:val="24"/>
                <w:lang w:val="ro-RO"/>
              </w:rPr>
            </w:pPr>
            <w:r w:rsidRPr="00FD7B82">
              <w:rPr>
                <w:rFonts w:ascii="Times New Roman" w:hAnsi="Times New Roman"/>
                <w:sz w:val="24"/>
                <w:szCs w:val="24"/>
                <w:lang w:val="ro-RO"/>
              </w:rPr>
              <w:t xml:space="preserve">Codul cu privire la știință şi inovare al Republicii Moldova din anul 2004, actualizat în anul 2018; </w:t>
            </w:r>
          </w:p>
          <w:p w14:paraId="0BE211C8" w14:textId="77777777" w:rsidR="00FD7B82" w:rsidRPr="00FD7B82" w:rsidRDefault="00FD7B82" w:rsidP="00526E74">
            <w:pPr>
              <w:pStyle w:val="ListParagraph"/>
              <w:numPr>
                <w:ilvl w:val="0"/>
                <w:numId w:val="13"/>
              </w:numPr>
              <w:spacing w:before="60" w:after="60" w:line="240" w:lineRule="auto"/>
              <w:jc w:val="both"/>
              <w:rPr>
                <w:rFonts w:ascii="Times New Roman" w:hAnsi="Times New Roman"/>
                <w:sz w:val="24"/>
                <w:szCs w:val="24"/>
                <w:lang w:val="ro-RO"/>
              </w:rPr>
            </w:pPr>
            <w:r w:rsidRPr="00FD7B82">
              <w:rPr>
                <w:rFonts w:ascii="Times New Roman" w:hAnsi="Times New Roman"/>
                <w:sz w:val="24"/>
                <w:szCs w:val="24"/>
                <w:lang w:val="ro-RO"/>
              </w:rPr>
              <w:t xml:space="preserve">Codul educației al Republicii Moldova din anul 2014, actualizat în anul 2020; </w:t>
            </w:r>
          </w:p>
          <w:p w14:paraId="7AD0CCD7" w14:textId="27155E53" w:rsidR="00FD7B82" w:rsidRPr="00FD7B82" w:rsidRDefault="00FD7B82" w:rsidP="00526E74">
            <w:pPr>
              <w:pStyle w:val="ListParagraph"/>
              <w:numPr>
                <w:ilvl w:val="0"/>
                <w:numId w:val="13"/>
              </w:numPr>
              <w:spacing w:before="60" w:after="60" w:line="240" w:lineRule="auto"/>
              <w:jc w:val="both"/>
              <w:rPr>
                <w:rFonts w:ascii="Times New Roman" w:hAnsi="Times New Roman"/>
                <w:sz w:val="24"/>
                <w:szCs w:val="24"/>
                <w:lang w:val="ro-RO"/>
              </w:rPr>
            </w:pPr>
            <w:r w:rsidRPr="00FD7B82">
              <w:rPr>
                <w:rFonts w:ascii="Times New Roman" w:hAnsi="Times New Roman"/>
                <w:sz w:val="24"/>
                <w:szCs w:val="24"/>
                <w:lang w:val="ro-RO"/>
              </w:rPr>
              <w:t xml:space="preserve">Strategia </w:t>
            </w:r>
            <w:r w:rsidR="00207B2D" w:rsidRPr="00FD7B82">
              <w:rPr>
                <w:rFonts w:ascii="Times New Roman" w:hAnsi="Times New Roman"/>
                <w:sz w:val="24"/>
                <w:szCs w:val="24"/>
                <w:lang w:val="ro-RO"/>
              </w:rPr>
              <w:t>inovațională</w:t>
            </w:r>
            <w:r w:rsidRPr="00FD7B82">
              <w:rPr>
                <w:rFonts w:ascii="Times New Roman" w:hAnsi="Times New Roman"/>
                <w:sz w:val="24"/>
                <w:szCs w:val="24"/>
                <w:lang w:val="ro-RO"/>
              </w:rPr>
              <w:t xml:space="preserve"> a Republicii Moldova pentru perioada 2013-2020 „</w:t>
            </w:r>
            <w:r w:rsidR="00207B2D" w:rsidRPr="00FD7B82">
              <w:rPr>
                <w:rFonts w:ascii="Times New Roman" w:hAnsi="Times New Roman"/>
                <w:sz w:val="24"/>
                <w:szCs w:val="24"/>
                <w:lang w:val="ro-RO"/>
              </w:rPr>
              <w:t>Inovații</w:t>
            </w:r>
            <w:r w:rsidRPr="00FD7B82">
              <w:rPr>
                <w:rFonts w:ascii="Times New Roman" w:hAnsi="Times New Roman"/>
                <w:sz w:val="24"/>
                <w:szCs w:val="24"/>
                <w:lang w:val="ro-RO"/>
              </w:rPr>
              <w:t xml:space="preserve"> pentru competitivitate” din anul 2013, actualizată în 2016 și abrogată în 2019; </w:t>
            </w:r>
          </w:p>
          <w:p w14:paraId="374F543C" w14:textId="77777777" w:rsidR="00FD7B82" w:rsidRPr="00FD7B82" w:rsidRDefault="00FD7B82" w:rsidP="00526E74">
            <w:pPr>
              <w:pStyle w:val="ListParagraph"/>
              <w:numPr>
                <w:ilvl w:val="0"/>
                <w:numId w:val="13"/>
              </w:numPr>
              <w:spacing w:before="60" w:after="60" w:line="240" w:lineRule="auto"/>
              <w:jc w:val="both"/>
              <w:rPr>
                <w:rFonts w:ascii="Times New Roman" w:hAnsi="Times New Roman"/>
                <w:sz w:val="24"/>
                <w:szCs w:val="24"/>
                <w:lang w:val="ro-RO"/>
              </w:rPr>
            </w:pPr>
            <w:r w:rsidRPr="00FD7B82">
              <w:rPr>
                <w:rFonts w:ascii="Times New Roman" w:hAnsi="Times New Roman"/>
                <w:sz w:val="24"/>
                <w:szCs w:val="24"/>
                <w:lang w:val="ro-RO"/>
              </w:rPr>
              <w:t>Strategia de cercetare-dezvoltare a Republicii Moldova până în 2020, din anul 2014, abrogată în 2019;</w:t>
            </w:r>
          </w:p>
          <w:p w14:paraId="795F4CA6" w14:textId="67A3CA46" w:rsidR="00FD7B82" w:rsidRPr="00FD7B82" w:rsidRDefault="00FD7B82" w:rsidP="00526E74">
            <w:pPr>
              <w:pStyle w:val="ListParagraph"/>
              <w:numPr>
                <w:ilvl w:val="0"/>
                <w:numId w:val="13"/>
              </w:numPr>
              <w:spacing w:before="60" w:after="60" w:line="240" w:lineRule="auto"/>
              <w:jc w:val="both"/>
              <w:rPr>
                <w:rFonts w:ascii="Times New Roman" w:eastAsia="Times New Roman" w:hAnsi="Times New Roman"/>
                <w:sz w:val="24"/>
                <w:szCs w:val="24"/>
                <w:lang w:val="ro-RO" w:eastAsia="ro-RO"/>
              </w:rPr>
            </w:pPr>
            <w:r w:rsidRPr="00FD7B82">
              <w:rPr>
                <w:rFonts w:ascii="Times New Roman" w:hAnsi="Times New Roman"/>
                <w:sz w:val="24"/>
                <w:szCs w:val="24"/>
                <w:lang w:val="ro-RO"/>
              </w:rPr>
              <w:t xml:space="preserve">Programul </w:t>
            </w:r>
            <w:r w:rsidR="00207B2D" w:rsidRPr="00FD7B82">
              <w:rPr>
                <w:rFonts w:ascii="Times New Roman" w:hAnsi="Times New Roman"/>
                <w:sz w:val="24"/>
                <w:szCs w:val="24"/>
                <w:lang w:val="ro-RO"/>
              </w:rPr>
              <w:t>National</w:t>
            </w:r>
            <w:r w:rsidRPr="00FD7B82">
              <w:rPr>
                <w:rFonts w:ascii="Times New Roman" w:hAnsi="Times New Roman"/>
                <w:sz w:val="24"/>
                <w:szCs w:val="24"/>
                <w:lang w:val="ro-RO"/>
              </w:rPr>
              <w:t xml:space="preserve"> în domeniile Cercetării </w:t>
            </w:r>
            <w:r w:rsidR="00207B2D" w:rsidRPr="00FD7B82">
              <w:rPr>
                <w:rFonts w:ascii="Times New Roman" w:hAnsi="Times New Roman"/>
                <w:sz w:val="24"/>
                <w:szCs w:val="24"/>
                <w:lang w:val="ro-RO"/>
              </w:rPr>
              <w:t>și</w:t>
            </w:r>
            <w:r w:rsidRPr="00FD7B82">
              <w:rPr>
                <w:rFonts w:ascii="Times New Roman" w:hAnsi="Times New Roman"/>
                <w:sz w:val="24"/>
                <w:szCs w:val="24"/>
                <w:lang w:val="ro-RO"/>
              </w:rPr>
              <w:t xml:space="preserve"> Inovării pentru anii 2020 – 2023 </w:t>
            </w:r>
            <w:r w:rsidR="00207B2D" w:rsidRPr="00FD7B82">
              <w:rPr>
                <w:rFonts w:ascii="Times New Roman" w:hAnsi="Times New Roman"/>
                <w:sz w:val="24"/>
                <w:szCs w:val="24"/>
                <w:lang w:val="ro-RO"/>
              </w:rPr>
              <w:t>și</w:t>
            </w:r>
            <w:r w:rsidRPr="00FD7B82">
              <w:rPr>
                <w:rFonts w:ascii="Times New Roman" w:hAnsi="Times New Roman"/>
                <w:sz w:val="24"/>
                <w:szCs w:val="24"/>
                <w:lang w:val="ro-RO"/>
              </w:rPr>
              <w:t xml:space="preserve"> Metodologia de </w:t>
            </w:r>
            <w:r w:rsidR="00207B2D" w:rsidRPr="00FD7B82">
              <w:rPr>
                <w:rFonts w:ascii="Times New Roman" w:hAnsi="Times New Roman"/>
                <w:sz w:val="24"/>
                <w:szCs w:val="24"/>
                <w:lang w:val="ro-RO"/>
              </w:rPr>
              <w:t>finanțare</w:t>
            </w:r>
            <w:r w:rsidRPr="00FD7B82">
              <w:rPr>
                <w:rFonts w:ascii="Times New Roman" w:hAnsi="Times New Roman"/>
                <w:sz w:val="24"/>
                <w:szCs w:val="24"/>
                <w:lang w:val="ro-RO"/>
              </w:rPr>
              <w:t xml:space="preserve"> a proiectelor din domeniul cercetării </w:t>
            </w:r>
            <w:r w:rsidR="00207B2D" w:rsidRPr="00FD7B82">
              <w:rPr>
                <w:rFonts w:ascii="Times New Roman" w:hAnsi="Times New Roman"/>
                <w:sz w:val="24"/>
                <w:szCs w:val="24"/>
                <w:lang w:val="ro-RO"/>
              </w:rPr>
              <w:t>și</w:t>
            </w:r>
            <w:r w:rsidRPr="00FD7B82">
              <w:rPr>
                <w:rFonts w:ascii="Times New Roman" w:hAnsi="Times New Roman"/>
                <w:sz w:val="24"/>
                <w:szCs w:val="24"/>
                <w:lang w:val="ro-RO"/>
              </w:rPr>
              <w:t xml:space="preserve"> inovării</w:t>
            </w:r>
            <w:r w:rsidRPr="00FD7B82">
              <w:rPr>
                <w:rFonts w:ascii="Times New Roman" w:eastAsia="Times New Roman" w:hAnsi="Times New Roman"/>
                <w:sz w:val="24"/>
                <w:szCs w:val="24"/>
                <w:lang w:val="ro-RO" w:eastAsia="ro-RO"/>
              </w:rPr>
              <w:t>.</w:t>
            </w:r>
          </w:p>
          <w:p w14:paraId="1BB00C61" w14:textId="0AFF94C9" w:rsidR="00FD7B82" w:rsidRPr="00FD7B82" w:rsidRDefault="00207B2D" w:rsidP="00207B2D">
            <w:pPr>
              <w:spacing w:before="60" w:after="60" w:line="240" w:lineRule="auto"/>
              <w:ind w:left="122"/>
              <w:jc w:val="both"/>
              <w:rPr>
                <w:rFonts w:ascii="Times New Roman" w:hAnsi="Times New Roman"/>
                <w:sz w:val="24"/>
                <w:szCs w:val="24"/>
                <w:lang w:val="ro-RO"/>
              </w:rPr>
            </w:pPr>
            <w:r>
              <w:rPr>
                <w:rFonts w:ascii="Times New Roman" w:hAnsi="Times New Roman"/>
                <w:sz w:val="24"/>
                <w:szCs w:val="24"/>
                <w:lang w:val="ro-RO"/>
              </w:rPr>
              <w:t xml:space="preserve">           </w:t>
            </w:r>
            <w:r w:rsidR="00FD7B82" w:rsidRPr="00FD7B82">
              <w:rPr>
                <w:rFonts w:ascii="Times New Roman" w:hAnsi="Times New Roman"/>
                <w:sz w:val="24"/>
                <w:szCs w:val="24"/>
                <w:lang w:val="ro-RO"/>
              </w:rPr>
              <w:t xml:space="preserve">Finanțarea prin concurs a proiectelor de cercetare este organizată de către </w:t>
            </w:r>
            <w:r w:rsidRPr="00FD7B82">
              <w:rPr>
                <w:rFonts w:ascii="Times New Roman" w:hAnsi="Times New Roman"/>
                <w:sz w:val="24"/>
                <w:szCs w:val="24"/>
                <w:lang w:val="ro-RO"/>
              </w:rPr>
              <w:t xml:space="preserve"> Agenți</w:t>
            </w:r>
            <w:r>
              <w:rPr>
                <w:rFonts w:ascii="Times New Roman" w:hAnsi="Times New Roman"/>
                <w:sz w:val="24"/>
                <w:szCs w:val="24"/>
                <w:lang w:val="ro-RO"/>
              </w:rPr>
              <w:t xml:space="preserve">a </w:t>
            </w:r>
            <w:r w:rsidRPr="00FD7B82">
              <w:rPr>
                <w:rFonts w:ascii="Times New Roman" w:hAnsi="Times New Roman"/>
                <w:sz w:val="24"/>
                <w:szCs w:val="24"/>
                <w:lang w:val="ro-RO"/>
              </w:rPr>
              <w:t>Națională pentru Cercetare și Dezvoltare (ANCD)</w:t>
            </w:r>
            <w:r w:rsidR="00FD7B82" w:rsidRPr="00FD7B82">
              <w:rPr>
                <w:rFonts w:ascii="Times New Roman" w:hAnsi="Times New Roman"/>
                <w:sz w:val="24"/>
                <w:szCs w:val="24"/>
                <w:lang w:val="ro-RO"/>
              </w:rPr>
              <w:t xml:space="preserve">. Proporția finanțării instituționale (volumul resurselor financiare alocate din bugetul public național direct instituțiilor din domeniul cercetării-dezvoltării și inovării: instituțiilor de învățământ superior, ministerelor de resort, etc.) în domeniul de cercetare-dezvoltare și inovare este în prezent de aproximativ 40%, restul de 60% fiind alocate în bază de mecanisme competitive pentru proiectele de cercetare desemnate învingătoare în concursurile de proiecte științifice. </w:t>
            </w:r>
          </w:p>
          <w:p w14:paraId="408498DD" w14:textId="341B6333" w:rsidR="00FD7B82" w:rsidRPr="00FD7B82" w:rsidRDefault="00526E74" w:rsidP="00FD7B82">
            <w:pPr>
              <w:spacing w:before="60" w:after="60" w:line="240" w:lineRule="auto"/>
              <w:ind w:left="122"/>
              <w:jc w:val="both"/>
              <w:rPr>
                <w:rFonts w:ascii="Times New Roman" w:hAnsi="Times New Roman"/>
                <w:sz w:val="24"/>
                <w:szCs w:val="24"/>
                <w:lang w:val="ro-RO"/>
              </w:rPr>
            </w:pPr>
            <w:r>
              <w:rPr>
                <w:rFonts w:ascii="Times New Roman" w:hAnsi="Times New Roman"/>
                <w:sz w:val="24"/>
                <w:szCs w:val="24"/>
                <w:lang w:val="ro-RO" w:eastAsia="fr-FR"/>
              </w:rPr>
              <w:t xml:space="preserve">           </w:t>
            </w:r>
            <w:r w:rsidR="00FD7B82" w:rsidRPr="00FD7B82">
              <w:rPr>
                <w:rFonts w:ascii="Times New Roman" w:hAnsi="Times New Roman"/>
                <w:sz w:val="24"/>
                <w:szCs w:val="24"/>
                <w:lang w:val="ro-RO"/>
              </w:rPr>
              <w:t>Cercetarea-dezvoltarea și inovarea din Republica Moldova continuă să se confrunte cu problema capacităților instituționale și umane extrem de reduse, datorate lipsei endemice de resurse financiare. Ultimele documente de politici publice, elaborate de către noii actori instituționali, lasă se întrevadă o serie de carențe serioase în gestionarea domeniului cercetare-dezvoltare și inovare.</w:t>
            </w:r>
          </w:p>
          <w:p w14:paraId="39E93A8A" w14:textId="77777777" w:rsidR="00FD7B82" w:rsidRPr="00FD7B82" w:rsidRDefault="00FD7B82" w:rsidP="00FD7B82">
            <w:pPr>
              <w:spacing w:before="60" w:after="60" w:line="240" w:lineRule="auto"/>
              <w:ind w:left="122"/>
              <w:jc w:val="both"/>
              <w:rPr>
                <w:rFonts w:ascii="Times New Roman" w:hAnsi="Times New Roman"/>
                <w:sz w:val="24"/>
                <w:szCs w:val="24"/>
                <w:lang w:val="ro-RO"/>
              </w:rPr>
            </w:pPr>
          </w:p>
          <w:p w14:paraId="43779B52" w14:textId="77777777" w:rsidR="00FD7B82" w:rsidRPr="00FD7B82" w:rsidRDefault="00FD7B82" w:rsidP="00F93E0B">
            <w:pPr>
              <w:spacing w:before="60" w:after="60" w:line="240" w:lineRule="auto"/>
              <w:ind w:left="122" w:firstLine="668"/>
              <w:jc w:val="both"/>
              <w:rPr>
                <w:rFonts w:ascii="Times New Roman" w:eastAsia="Times New Roman" w:hAnsi="Times New Roman"/>
                <w:b/>
                <w:i/>
                <w:sz w:val="24"/>
                <w:szCs w:val="24"/>
                <w:lang w:val="ro-RO" w:eastAsia="fr-FR"/>
              </w:rPr>
            </w:pPr>
            <w:r w:rsidRPr="00FD7B82">
              <w:rPr>
                <w:rFonts w:ascii="Times New Roman" w:eastAsia="Times New Roman" w:hAnsi="Times New Roman"/>
                <w:b/>
                <w:i/>
                <w:sz w:val="24"/>
                <w:szCs w:val="24"/>
                <w:lang w:val="ro-RO" w:eastAsia="fr-FR"/>
              </w:rPr>
              <w:t>Baza Analitică</w:t>
            </w:r>
          </w:p>
          <w:p w14:paraId="721C1577" w14:textId="77777777" w:rsidR="00ED2086" w:rsidRDefault="009E7044" w:rsidP="00ED2086">
            <w:pPr>
              <w:pStyle w:val="P68B1DB1-TableParagraph5"/>
              <w:spacing w:before="60" w:after="60"/>
              <w:ind w:left="122" w:right="136"/>
              <w:rPr>
                <w:szCs w:val="24"/>
                <w:lang w:val="ro-RO" w:eastAsia="fr-FR"/>
              </w:rPr>
            </w:pPr>
            <w:r>
              <w:rPr>
                <w:szCs w:val="24"/>
                <w:lang w:val="ro-RO" w:eastAsia="fr-FR"/>
              </w:rPr>
              <w:t xml:space="preserve">           </w:t>
            </w:r>
            <w:r w:rsidR="00FD7B82" w:rsidRPr="00FD7B82">
              <w:rPr>
                <w:szCs w:val="24"/>
                <w:lang w:val="ro-RO" w:eastAsia="fr-FR"/>
              </w:rPr>
              <w:t>Baza analitică a Planului Național integrat privind Energia și Clima este construită pe procesarea și analiza unor simulări efectuate în programul de modelizare TIMES (</w:t>
            </w:r>
            <w:r w:rsidR="00FD7B82" w:rsidRPr="00FD7B82">
              <w:rPr>
                <w:i/>
                <w:szCs w:val="24"/>
                <w:lang w:val="ro-RO" w:eastAsia="fr-FR"/>
              </w:rPr>
              <w:t>The Integrated MARKAL-EFOM System</w:t>
            </w:r>
            <w:r w:rsidR="00FD7B82" w:rsidRPr="00FD7B82">
              <w:rPr>
                <w:szCs w:val="24"/>
                <w:lang w:val="ro-RO" w:eastAsia="fr-FR"/>
              </w:rPr>
              <w:t xml:space="preserve">). Fiind bazate pe analiza aprofundată a factorilor energetici și de mediu, simulările au fost utilizate pentru evaluarea țintelor în domeniile energiei din surse regenerabile, eficienței energetice și a emisiilor de GES, prin analiza perioadei până în anul 2030 și până în anul 2050. Programul TIMES este un soft de modelare de tip </w:t>
            </w:r>
            <w:r w:rsidR="00FD7B82" w:rsidRPr="00FD7B82">
              <w:rPr>
                <w:i/>
                <w:szCs w:val="24"/>
                <w:lang w:val="ro-RO" w:eastAsia="fr-FR"/>
              </w:rPr>
              <w:t>bottom-up</w:t>
            </w:r>
            <w:r w:rsidR="00FD7B82" w:rsidRPr="00FD7B82">
              <w:rPr>
                <w:szCs w:val="24"/>
                <w:lang w:val="ro-RO" w:eastAsia="fr-FR"/>
              </w:rPr>
              <w:t xml:space="preserve"> care utilizează programarea liniară pentru a genera în mod eficient modele de sisteme energetice pentru orizontul de timp până în anul 2050 reieșind din constrângerile definite de către utilizator. TIMES este utilizat pentru a explora rezultatele generate prin procesarea unor scenarii diferite.</w:t>
            </w:r>
          </w:p>
          <w:p w14:paraId="642FA73D" w14:textId="77777777" w:rsidR="00ED2086" w:rsidRDefault="00ED2086" w:rsidP="00ED2086">
            <w:pPr>
              <w:pStyle w:val="P68B1DB1-TableParagraph5"/>
              <w:spacing w:before="60" w:after="60"/>
              <w:ind w:left="122" w:right="136"/>
              <w:rPr>
                <w:szCs w:val="24"/>
                <w:lang w:val="ro-RO" w:eastAsia="fr-FR"/>
              </w:rPr>
            </w:pPr>
            <w:r>
              <w:rPr>
                <w:szCs w:val="24"/>
                <w:lang w:val="ro-RO" w:eastAsia="fr-FR"/>
              </w:rPr>
              <w:t xml:space="preserve">           </w:t>
            </w:r>
            <w:r w:rsidR="00FD7B82" w:rsidRPr="00FD7B82">
              <w:rPr>
                <w:szCs w:val="24"/>
                <w:lang w:val="ro-RO" w:eastAsia="fr-FR"/>
              </w:rPr>
              <w:t>PNEC conține</w:t>
            </w:r>
            <w:r w:rsidR="009E7044" w:rsidRPr="00FD7B82">
              <w:rPr>
                <w:szCs w:val="24"/>
                <w:lang w:val="ro-RO" w:eastAsia="fr-FR"/>
              </w:rPr>
              <w:t xml:space="preserve"> și </w:t>
            </w:r>
            <w:r w:rsidR="009E7044">
              <w:rPr>
                <w:szCs w:val="24"/>
                <w:lang w:val="ro-RO" w:eastAsia="fr-FR"/>
              </w:rPr>
              <w:t xml:space="preserve">un </w:t>
            </w:r>
            <w:r w:rsidR="00FD7B82" w:rsidRPr="00FD7B82">
              <w:rPr>
                <w:szCs w:val="24"/>
                <w:lang w:val="ro-RO" w:eastAsia="fr-FR"/>
              </w:rPr>
              <w:t>capitol referitor la indicatorii de monitorizare și evaluare a politicilor publice, și la autoritățile / instituțiile responsabile de implementarea măsurilor prevăzute.</w:t>
            </w:r>
          </w:p>
          <w:p w14:paraId="4EE25B54" w14:textId="27A27911" w:rsidR="00791F88" w:rsidRPr="00ED2086" w:rsidRDefault="00ED2086" w:rsidP="00ED2086">
            <w:pPr>
              <w:spacing w:before="60" w:after="60" w:line="240" w:lineRule="auto"/>
              <w:ind w:left="122"/>
              <w:jc w:val="both"/>
              <w:rPr>
                <w:rFonts w:ascii="Times New Roman" w:eastAsia="Times New Roman" w:hAnsi="Times New Roman"/>
                <w:sz w:val="24"/>
                <w:szCs w:val="24"/>
                <w:lang w:val="ro-MD"/>
              </w:rPr>
            </w:pPr>
            <w:r>
              <w:rPr>
                <w:rFonts w:ascii="Times New Roman" w:eastAsia="Times New Roman" w:hAnsi="Times New Roman"/>
                <w:sz w:val="24"/>
                <w:szCs w:val="24"/>
                <w:lang w:val="ro-MD"/>
              </w:rPr>
              <w:t xml:space="preserve">           </w:t>
            </w:r>
            <w:r w:rsidRPr="00526E74">
              <w:rPr>
                <w:rFonts w:ascii="Times New Roman" w:eastAsia="Times New Roman" w:hAnsi="Times New Roman"/>
                <w:sz w:val="24"/>
                <w:szCs w:val="24"/>
                <w:lang w:val="ro-MD"/>
              </w:rPr>
              <w:t xml:space="preserve">Principalele beneficii obținute în urma implementării PNEC rezultă din edificarea unei sinergii veritabile între domeniul energiei și cel al combaterii schimbărilor climatice. Documentul constituie o Foaie de parcurs pentru modernizarea cadrului de politici publice în domeniul energie </w:t>
            </w:r>
            <w:r w:rsidRPr="00526E74">
              <w:rPr>
                <w:rFonts w:ascii="Times New Roman" w:eastAsia="Times New Roman" w:hAnsi="Times New Roman"/>
                <w:sz w:val="24"/>
                <w:szCs w:val="24"/>
                <w:lang w:val="ro-MD"/>
              </w:rPr>
              <w:lastRenderedPageBreak/>
              <w:t>și climă, pregătirea terenului pentru implementarea măsurilor prezentate și atragerea investițiilor în sectorul energetic și în protecția mediului înconjurător. În urma realizării PNEC Republica Moldova își va consolida securitatea energetică, va liberaliza și moderniza piața de energie, va dezvolta și generaliza utilizarea surselor de energie regenerabilă, va spori gradul de implementare a măsurilor de eficiență energetică, va dezvolta cercetarea, inovația și competitivitatea în domeniul energie și climă și va contribui la efortul global de reducere a emisiilor de gaze cu efect de seră.</w:t>
            </w:r>
            <w:r w:rsidR="006A46F8" w:rsidRPr="001B0984">
              <w:rPr>
                <w:rFonts w:ascii="Times New Roman" w:eastAsia="Times New Roman" w:hAnsi="Times New Roman"/>
                <w:sz w:val="24"/>
                <w:szCs w:val="24"/>
                <w:lang w:val="ro-RO"/>
              </w:rPr>
              <w:t xml:space="preserve"> </w:t>
            </w:r>
          </w:p>
        </w:tc>
      </w:tr>
      <w:tr w:rsidR="00756A93" w:rsidRPr="001B0984" w14:paraId="3108FA56" w14:textId="77777777" w:rsidTr="00403D69">
        <w:tc>
          <w:tcPr>
            <w:tcW w:w="5000" w:type="pct"/>
            <w:shd w:val="clear" w:color="auto" w:fill="D9D9D9" w:themeFill="background1" w:themeFillShade="D9"/>
          </w:tcPr>
          <w:p w14:paraId="2B427ED8" w14:textId="77777777" w:rsidR="007609FD" w:rsidRPr="001B0984" w:rsidRDefault="007609FD"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lastRenderedPageBreak/>
              <w:t>5. Fundamentarea economico-financiară</w:t>
            </w:r>
          </w:p>
        </w:tc>
      </w:tr>
      <w:tr w:rsidR="00756A93" w:rsidRPr="00F93E0B" w14:paraId="72585065" w14:textId="77777777" w:rsidTr="00403D69">
        <w:tc>
          <w:tcPr>
            <w:tcW w:w="5000" w:type="pct"/>
          </w:tcPr>
          <w:p w14:paraId="3ED49ABC" w14:textId="46F238BE" w:rsidR="00526E74" w:rsidRPr="0003484C" w:rsidRDefault="007B2A01" w:rsidP="00526E74">
            <w:pPr>
              <w:spacing w:before="60" w:after="60" w:line="240" w:lineRule="auto"/>
              <w:ind w:left="122"/>
              <w:jc w:val="both"/>
              <w:rPr>
                <w:rFonts w:ascii="Times New Roman" w:hAnsi="Times New Roman"/>
                <w:sz w:val="24"/>
                <w:szCs w:val="24"/>
                <w:lang w:val="ro-RO"/>
              </w:rPr>
            </w:pPr>
            <w:r>
              <w:rPr>
                <w:rFonts w:ascii="Times New Roman" w:hAnsi="Times New Roman"/>
                <w:sz w:val="24"/>
                <w:szCs w:val="24"/>
                <w:lang w:val="ro-RO"/>
              </w:rPr>
              <w:t xml:space="preserve">           </w:t>
            </w:r>
            <w:r w:rsidR="00526E74" w:rsidRPr="0003484C">
              <w:rPr>
                <w:rFonts w:ascii="Times New Roman" w:hAnsi="Times New Roman"/>
                <w:sz w:val="24"/>
                <w:szCs w:val="24"/>
                <w:lang w:val="ro-RO"/>
              </w:rPr>
              <w:t xml:space="preserve">Necesitățile financiare corelate cu realizarea măsurilor prevăzute în </w:t>
            </w:r>
            <w:r w:rsidR="00526E74">
              <w:rPr>
                <w:rFonts w:ascii="Times New Roman" w:hAnsi="Times New Roman"/>
                <w:sz w:val="24"/>
                <w:szCs w:val="24"/>
                <w:lang w:val="ro-RO"/>
              </w:rPr>
              <w:t>PNEC</w:t>
            </w:r>
            <w:r w:rsidR="00526E74" w:rsidRPr="0003484C">
              <w:rPr>
                <w:rFonts w:ascii="Times New Roman" w:hAnsi="Times New Roman"/>
                <w:sz w:val="24"/>
                <w:szCs w:val="24"/>
                <w:lang w:val="ro-RO"/>
              </w:rPr>
              <w:t xml:space="preserve"> sunt evaluate în corespundere cu prevederile legislației naționale și standardele internaționale, ținând cont de evoluțiile prognozate pentru următorii ani ai ratei inflației, fluctuației cursului valutei naționale, variației pre</w:t>
            </w:r>
            <w:r w:rsidR="00526E74">
              <w:rPr>
                <w:rFonts w:ascii="Times New Roman" w:hAnsi="Times New Roman"/>
                <w:sz w:val="24"/>
                <w:szCs w:val="24"/>
                <w:lang w:val="ro-RO"/>
              </w:rPr>
              <w:t>ț</w:t>
            </w:r>
            <w:r w:rsidR="00526E74" w:rsidRPr="0003484C">
              <w:rPr>
                <w:rFonts w:ascii="Times New Roman" w:hAnsi="Times New Roman"/>
                <w:sz w:val="24"/>
                <w:szCs w:val="24"/>
                <w:lang w:val="ro-RO"/>
              </w:rPr>
              <w:t>urilor la diverse materii prime și tehnologii, etc.</w:t>
            </w:r>
          </w:p>
          <w:p w14:paraId="7D40FDAD" w14:textId="77777777" w:rsidR="00526E74" w:rsidRPr="0003484C" w:rsidRDefault="00526E74" w:rsidP="00526E74">
            <w:pPr>
              <w:spacing w:before="60" w:after="60" w:line="240" w:lineRule="auto"/>
              <w:ind w:left="122"/>
              <w:jc w:val="both"/>
              <w:rPr>
                <w:rFonts w:ascii="Times New Roman" w:hAnsi="Times New Roman"/>
                <w:sz w:val="24"/>
                <w:szCs w:val="24"/>
                <w:lang w:val="ro-RO"/>
              </w:rPr>
            </w:pPr>
            <w:r w:rsidRPr="0003484C">
              <w:rPr>
                <w:rFonts w:ascii="Times New Roman" w:hAnsi="Times New Roman"/>
                <w:sz w:val="24"/>
                <w:szCs w:val="24"/>
                <w:lang w:val="ro-RO"/>
              </w:rPr>
              <w:t>Principalele surse de finanțare pentru implementarea măsurilor prevăzute în PNEC sunt:</w:t>
            </w:r>
          </w:p>
          <w:p w14:paraId="4150DED1" w14:textId="77777777" w:rsidR="00526E74" w:rsidRPr="0003484C" w:rsidRDefault="00526E74" w:rsidP="00526E74">
            <w:pPr>
              <w:pStyle w:val="ListParagraph"/>
              <w:numPr>
                <w:ilvl w:val="0"/>
                <w:numId w:val="14"/>
              </w:numPr>
              <w:spacing w:before="60" w:after="60" w:line="240" w:lineRule="auto"/>
              <w:jc w:val="both"/>
              <w:rPr>
                <w:rFonts w:ascii="Times New Roman" w:hAnsi="Times New Roman"/>
                <w:sz w:val="24"/>
                <w:szCs w:val="24"/>
                <w:lang w:val="ro-RO"/>
              </w:rPr>
            </w:pPr>
            <w:r w:rsidRPr="0003484C">
              <w:rPr>
                <w:rFonts w:ascii="Times New Roman" w:hAnsi="Times New Roman"/>
                <w:sz w:val="24"/>
                <w:szCs w:val="24"/>
                <w:lang w:val="ro-RO"/>
              </w:rPr>
              <w:t xml:space="preserve">Proiectele de asistență externă (componentele de împrumut și de granturi), finanțatori: BERD, BEI, instituții și fonduri UE, agenții ONU, organizații internaționale, </w:t>
            </w:r>
            <w:r>
              <w:rPr>
                <w:rFonts w:ascii="Times New Roman" w:hAnsi="Times New Roman"/>
                <w:sz w:val="24"/>
                <w:szCs w:val="24"/>
                <w:lang w:val="ro-RO"/>
              </w:rPr>
              <w:t>Grupul Băncii Mondiale</w:t>
            </w:r>
            <w:r w:rsidRPr="0003484C">
              <w:rPr>
                <w:rFonts w:ascii="Times New Roman" w:hAnsi="Times New Roman"/>
                <w:sz w:val="24"/>
                <w:szCs w:val="24"/>
                <w:lang w:val="ro-RO"/>
              </w:rPr>
              <w:t>, organizațiile pentru dezvoltare și asistență externă și alte instituții și organizații ale guvernelor statelor partenere, organizații non-guvernamentale, etc.;</w:t>
            </w:r>
          </w:p>
          <w:p w14:paraId="5680D343" w14:textId="77777777" w:rsidR="00526E74" w:rsidRPr="0003484C" w:rsidRDefault="00526E74" w:rsidP="00526E74">
            <w:pPr>
              <w:pStyle w:val="ListParagraph"/>
              <w:numPr>
                <w:ilvl w:val="0"/>
                <w:numId w:val="14"/>
              </w:numPr>
              <w:spacing w:before="60" w:after="60" w:line="240" w:lineRule="auto"/>
              <w:jc w:val="both"/>
              <w:rPr>
                <w:rFonts w:ascii="Times New Roman" w:hAnsi="Times New Roman"/>
                <w:sz w:val="24"/>
                <w:szCs w:val="24"/>
                <w:lang w:val="ro-RO"/>
              </w:rPr>
            </w:pPr>
            <w:r w:rsidRPr="0003484C">
              <w:rPr>
                <w:rFonts w:ascii="Times New Roman" w:hAnsi="Times New Roman"/>
                <w:sz w:val="24"/>
                <w:szCs w:val="24"/>
                <w:lang w:val="ro-RO"/>
              </w:rPr>
              <w:t>Fondurile europene destinate statelor din vecinătatea UE și acțiunilor de cooperare transfrontalieră;</w:t>
            </w:r>
          </w:p>
          <w:p w14:paraId="27359B4A" w14:textId="77777777" w:rsidR="00526E74" w:rsidRPr="0003484C" w:rsidRDefault="00526E74" w:rsidP="00526E74">
            <w:pPr>
              <w:pStyle w:val="ListParagraph"/>
              <w:numPr>
                <w:ilvl w:val="0"/>
                <w:numId w:val="14"/>
              </w:numPr>
              <w:spacing w:before="60" w:after="60" w:line="240" w:lineRule="auto"/>
              <w:jc w:val="both"/>
              <w:rPr>
                <w:rFonts w:ascii="Times New Roman" w:hAnsi="Times New Roman"/>
                <w:sz w:val="24"/>
                <w:szCs w:val="24"/>
                <w:lang w:val="ro-RO"/>
              </w:rPr>
            </w:pPr>
            <w:r w:rsidRPr="0003484C">
              <w:rPr>
                <w:rFonts w:ascii="Times New Roman" w:hAnsi="Times New Roman"/>
                <w:sz w:val="24"/>
                <w:szCs w:val="24"/>
                <w:lang w:val="ro-RO"/>
              </w:rPr>
              <w:t>Investițiile străine directe și ale mediului de afaceri autohton;</w:t>
            </w:r>
          </w:p>
          <w:p w14:paraId="0B79BAE3" w14:textId="77777777" w:rsidR="007B2A01" w:rsidRPr="007B2A01" w:rsidRDefault="00526E74" w:rsidP="007B2A01">
            <w:pPr>
              <w:pStyle w:val="ListParagraph"/>
              <w:numPr>
                <w:ilvl w:val="0"/>
                <w:numId w:val="14"/>
              </w:numPr>
              <w:spacing w:before="60" w:after="60" w:line="240" w:lineRule="auto"/>
              <w:jc w:val="both"/>
              <w:rPr>
                <w:rFonts w:ascii="Times New Roman" w:eastAsia="Times New Roman" w:hAnsi="Times New Roman"/>
                <w:sz w:val="24"/>
                <w:szCs w:val="24"/>
                <w:shd w:val="clear" w:color="auto" w:fill="FFFFFF"/>
                <w:lang w:val="ro-RO"/>
              </w:rPr>
            </w:pPr>
            <w:r w:rsidRPr="0003484C">
              <w:rPr>
                <w:rFonts w:ascii="Times New Roman" w:hAnsi="Times New Roman"/>
                <w:sz w:val="24"/>
                <w:szCs w:val="24"/>
                <w:lang w:val="ro-RO"/>
              </w:rPr>
              <w:t>Bugetul public național al Republicii Moldova, Fondurile naționale și bugetele autorităților publice locale;</w:t>
            </w:r>
          </w:p>
          <w:p w14:paraId="6D019FB2" w14:textId="042145A7" w:rsidR="00350FD1" w:rsidRPr="007B2A01" w:rsidRDefault="00526E74" w:rsidP="007B2A01">
            <w:pPr>
              <w:pStyle w:val="ListParagraph"/>
              <w:numPr>
                <w:ilvl w:val="0"/>
                <w:numId w:val="14"/>
              </w:numPr>
              <w:spacing w:before="60" w:after="60" w:line="240" w:lineRule="auto"/>
              <w:jc w:val="both"/>
              <w:rPr>
                <w:rFonts w:ascii="Times New Roman" w:eastAsia="Times New Roman" w:hAnsi="Times New Roman"/>
                <w:sz w:val="24"/>
                <w:szCs w:val="24"/>
                <w:shd w:val="clear" w:color="auto" w:fill="FFFFFF"/>
                <w:lang w:val="ro-RO"/>
              </w:rPr>
            </w:pPr>
            <w:r w:rsidRPr="0003484C">
              <w:rPr>
                <w:rFonts w:ascii="Times New Roman" w:hAnsi="Times New Roman"/>
                <w:sz w:val="24"/>
                <w:szCs w:val="24"/>
                <w:lang w:val="ro-RO"/>
              </w:rPr>
              <w:t>Contribuțiile directe ale beneficiarilor (în anumite cazuri).</w:t>
            </w:r>
          </w:p>
        </w:tc>
      </w:tr>
      <w:tr w:rsidR="00756A93" w:rsidRPr="00F93E0B" w14:paraId="48FA6E0C" w14:textId="77777777" w:rsidTr="00403D69">
        <w:tc>
          <w:tcPr>
            <w:tcW w:w="5000" w:type="pct"/>
            <w:shd w:val="clear" w:color="auto" w:fill="D9D9D9" w:themeFill="background1" w:themeFillShade="D9"/>
          </w:tcPr>
          <w:p w14:paraId="41111FB6" w14:textId="77777777" w:rsidR="007609FD" w:rsidRPr="001B0984" w:rsidRDefault="007609FD"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t>6. Modul de încorporare a actului în cadrul normativ în vigoare</w:t>
            </w:r>
          </w:p>
        </w:tc>
      </w:tr>
      <w:tr w:rsidR="00756A93" w:rsidRPr="00F93E0B" w14:paraId="5BFB580E" w14:textId="77777777" w:rsidTr="00403D69">
        <w:tc>
          <w:tcPr>
            <w:tcW w:w="5000" w:type="pct"/>
          </w:tcPr>
          <w:p w14:paraId="2D7B57CC" w14:textId="685A72CD" w:rsidR="0019173E" w:rsidRPr="00A723BA" w:rsidRDefault="0019173E" w:rsidP="00450329">
            <w:pPr>
              <w:spacing w:before="60" w:after="60" w:line="240" w:lineRule="auto"/>
              <w:ind w:firstLine="573"/>
              <w:jc w:val="both"/>
              <w:rPr>
                <w:rFonts w:ascii="Times New Roman" w:hAnsi="Times New Roman"/>
                <w:sz w:val="24"/>
                <w:szCs w:val="24"/>
                <w:lang w:val="ro-RO"/>
              </w:rPr>
            </w:pPr>
          </w:p>
          <w:p w14:paraId="17B5223C" w14:textId="3406C8D8" w:rsidR="00771240" w:rsidRPr="00A723BA" w:rsidRDefault="00915A3B" w:rsidP="00921997">
            <w:pPr>
              <w:spacing w:before="60" w:after="60" w:line="240" w:lineRule="auto"/>
              <w:ind w:firstLine="573"/>
              <w:jc w:val="both"/>
              <w:rPr>
                <w:rFonts w:ascii="Times New Roman" w:hAnsi="Times New Roman"/>
                <w:sz w:val="24"/>
                <w:szCs w:val="24"/>
                <w:lang w:val="ro-RO"/>
              </w:rPr>
            </w:pPr>
            <w:r w:rsidRPr="00A723BA">
              <w:rPr>
                <w:rFonts w:ascii="Times New Roman" w:hAnsi="Times New Roman"/>
                <w:sz w:val="24"/>
                <w:szCs w:val="24"/>
                <w:lang w:val="ro-RO"/>
              </w:rPr>
              <w:t xml:space="preserve">Prin aderarea la Pachetul Energetic III al </w:t>
            </w:r>
            <w:r w:rsidR="00921997" w:rsidRPr="00A723BA">
              <w:rPr>
                <w:rFonts w:ascii="Times New Roman" w:hAnsi="Times New Roman"/>
                <w:sz w:val="24"/>
                <w:szCs w:val="24"/>
                <w:lang w:val="ro-RO"/>
              </w:rPr>
              <w:t>Comunității</w:t>
            </w:r>
            <w:r w:rsidRPr="00A723BA">
              <w:rPr>
                <w:rFonts w:ascii="Times New Roman" w:hAnsi="Times New Roman"/>
                <w:sz w:val="24"/>
                <w:szCs w:val="24"/>
                <w:lang w:val="ro-RO"/>
              </w:rPr>
              <w:t xml:space="preserve"> Energetice Republica Moldova </w:t>
            </w:r>
            <w:r w:rsidR="00921997" w:rsidRPr="00A723BA">
              <w:rPr>
                <w:rFonts w:ascii="Times New Roman" w:hAnsi="Times New Roman"/>
                <w:sz w:val="24"/>
                <w:szCs w:val="24"/>
                <w:lang w:val="ro-RO"/>
              </w:rPr>
              <w:t>ș</w:t>
            </w:r>
            <w:r w:rsidRPr="00A723BA">
              <w:rPr>
                <w:rFonts w:ascii="Times New Roman" w:hAnsi="Times New Roman"/>
                <w:sz w:val="24"/>
                <w:szCs w:val="24"/>
                <w:lang w:val="ro-RO"/>
              </w:rPr>
              <w:t xml:space="preserve">i-a asumat o serie de angajamente cu privire la transpunerea </w:t>
            </w:r>
            <w:r w:rsidRPr="00A723BA">
              <w:rPr>
                <w:rFonts w:ascii="Times New Roman" w:hAnsi="Times New Roman"/>
                <w:i/>
                <w:iCs/>
                <w:sz w:val="24"/>
                <w:szCs w:val="24"/>
                <w:lang w:val="ro-RO"/>
              </w:rPr>
              <w:t>acquis</w:t>
            </w:r>
            <w:r w:rsidRPr="00A723BA">
              <w:rPr>
                <w:rFonts w:ascii="Times New Roman" w:hAnsi="Times New Roman"/>
                <w:sz w:val="24"/>
                <w:szCs w:val="24"/>
                <w:lang w:val="ro-RO"/>
              </w:rPr>
              <w:t xml:space="preserve">-ului CEn </w:t>
            </w:r>
            <w:r w:rsidR="00921997" w:rsidRPr="00A723BA">
              <w:rPr>
                <w:rFonts w:ascii="Times New Roman" w:hAnsi="Times New Roman"/>
                <w:sz w:val="24"/>
                <w:szCs w:val="24"/>
                <w:lang w:val="ro-RO"/>
              </w:rPr>
              <w:t>î</w:t>
            </w:r>
            <w:r w:rsidRPr="00A723BA">
              <w:rPr>
                <w:rFonts w:ascii="Times New Roman" w:hAnsi="Times New Roman"/>
                <w:sz w:val="24"/>
                <w:szCs w:val="24"/>
                <w:lang w:val="ro-RO"/>
              </w:rPr>
              <w:t xml:space="preserve">n sectorul energetic. Acestea </w:t>
            </w:r>
            <w:r w:rsidR="00921997" w:rsidRPr="00A723BA">
              <w:rPr>
                <w:rFonts w:ascii="Times New Roman" w:hAnsi="Times New Roman"/>
                <w:sz w:val="24"/>
                <w:szCs w:val="24"/>
                <w:lang w:val="ro-RO"/>
              </w:rPr>
              <w:t>se refer</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 xml:space="preserve"> la asigurarea unui cadru legal și normativ pentru reducerea dependen</w:t>
            </w:r>
            <w:r w:rsidR="007540AF" w:rsidRPr="00A723BA">
              <w:rPr>
                <w:rFonts w:ascii="Times New Roman" w:hAnsi="Times New Roman"/>
                <w:sz w:val="24"/>
                <w:szCs w:val="24"/>
                <w:lang w:val="ro-RO"/>
              </w:rPr>
              <w:t>ț</w:t>
            </w:r>
            <w:r w:rsidR="00921997" w:rsidRPr="00A723BA">
              <w:rPr>
                <w:rFonts w:ascii="Times New Roman" w:hAnsi="Times New Roman"/>
                <w:sz w:val="24"/>
                <w:szCs w:val="24"/>
                <w:lang w:val="ro-RO"/>
              </w:rPr>
              <w:t xml:space="preserve">ei energetice a </w:t>
            </w:r>
            <w:r w:rsidR="007540AF" w:rsidRPr="00A723BA">
              <w:rPr>
                <w:rFonts w:ascii="Times New Roman" w:hAnsi="Times New Roman"/>
                <w:sz w:val="24"/>
                <w:szCs w:val="24"/>
                <w:lang w:val="ro-RO"/>
              </w:rPr>
              <w:t>ț</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rii de resursele energetice externe, diversificarea furnizorilor de resurse energetice și a c</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ilor de acces ale acestor resurse, promovarea surselor de energie regenerabil</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 implementarea m</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surilor de eficien</w:t>
            </w:r>
            <w:r w:rsidR="007540AF" w:rsidRPr="00A723BA">
              <w:rPr>
                <w:rFonts w:ascii="Times New Roman" w:hAnsi="Times New Roman"/>
                <w:sz w:val="24"/>
                <w:szCs w:val="24"/>
                <w:lang w:val="ro-RO"/>
              </w:rPr>
              <w:t>ț</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 xml:space="preserve"> energetic</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 xml:space="preserve">, liberalizarea </w:t>
            </w:r>
            <w:r w:rsidR="007540AF" w:rsidRPr="00A723BA">
              <w:rPr>
                <w:rFonts w:ascii="Times New Roman" w:hAnsi="Times New Roman"/>
                <w:sz w:val="24"/>
                <w:szCs w:val="24"/>
                <w:lang w:val="ro-RO"/>
              </w:rPr>
              <w:t>piețelor</w:t>
            </w:r>
            <w:r w:rsidR="00921997" w:rsidRPr="00A723BA">
              <w:rPr>
                <w:rFonts w:ascii="Times New Roman" w:hAnsi="Times New Roman"/>
                <w:sz w:val="24"/>
                <w:szCs w:val="24"/>
                <w:lang w:val="ro-RO"/>
              </w:rPr>
              <w:t xml:space="preserve"> energetice, </w:t>
            </w:r>
            <w:r w:rsidR="007F29B2" w:rsidRPr="00A723BA">
              <w:rPr>
                <w:rFonts w:ascii="Times New Roman" w:hAnsi="Times New Roman"/>
                <w:sz w:val="24"/>
                <w:szCs w:val="24"/>
                <w:lang w:val="ro-RO"/>
              </w:rPr>
              <w:t xml:space="preserve">sporirea flexibilității sistemului energetic, integrarea piețelor energetice, </w:t>
            </w:r>
            <w:r w:rsidR="00921997" w:rsidRPr="00A723BA">
              <w:rPr>
                <w:rFonts w:ascii="Times New Roman" w:hAnsi="Times New Roman"/>
                <w:sz w:val="24"/>
                <w:szCs w:val="24"/>
                <w:lang w:val="ro-RO"/>
              </w:rPr>
              <w:t>asigurarea interconexiunilor re</w:t>
            </w:r>
            <w:r w:rsidR="007540AF" w:rsidRPr="00A723BA">
              <w:rPr>
                <w:rFonts w:ascii="Times New Roman" w:hAnsi="Times New Roman"/>
                <w:sz w:val="24"/>
                <w:szCs w:val="24"/>
                <w:lang w:val="ro-RO"/>
              </w:rPr>
              <w:t>ț</w:t>
            </w:r>
            <w:r w:rsidR="00921997" w:rsidRPr="00A723BA">
              <w:rPr>
                <w:rFonts w:ascii="Times New Roman" w:hAnsi="Times New Roman"/>
                <w:sz w:val="24"/>
                <w:szCs w:val="24"/>
                <w:lang w:val="ro-RO"/>
              </w:rPr>
              <w:t xml:space="preserve">elelor de electricitate </w:t>
            </w:r>
            <w:r w:rsidR="007540AF" w:rsidRPr="00A723BA">
              <w:rPr>
                <w:rFonts w:ascii="Times New Roman" w:hAnsi="Times New Roman"/>
                <w:sz w:val="24"/>
                <w:szCs w:val="24"/>
                <w:lang w:val="ro-RO"/>
              </w:rPr>
              <w:t>ș</w:t>
            </w:r>
            <w:r w:rsidR="00921997" w:rsidRPr="00A723BA">
              <w:rPr>
                <w:rFonts w:ascii="Times New Roman" w:hAnsi="Times New Roman"/>
                <w:sz w:val="24"/>
                <w:szCs w:val="24"/>
                <w:lang w:val="ro-RO"/>
              </w:rPr>
              <w:t xml:space="preserve">i gaze naturale la nivel regional </w:t>
            </w:r>
            <w:r w:rsidR="007540AF" w:rsidRPr="00A723BA">
              <w:rPr>
                <w:rFonts w:ascii="Times New Roman" w:hAnsi="Times New Roman"/>
                <w:sz w:val="24"/>
                <w:szCs w:val="24"/>
                <w:lang w:val="ro-RO"/>
              </w:rPr>
              <w:t>ș</w:t>
            </w:r>
            <w:r w:rsidR="00921997" w:rsidRPr="00A723BA">
              <w:rPr>
                <w:rFonts w:ascii="Times New Roman" w:hAnsi="Times New Roman"/>
                <w:sz w:val="24"/>
                <w:szCs w:val="24"/>
                <w:lang w:val="ro-RO"/>
              </w:rPr>
              <w:t xml:space="preserve">i european, introducerea mecanismelor moderne de </w:t>
            </w:r>
            <w:r w:rsidR="007540AF" w:rsidRPr="00A723BA">
              <w:rPr>
                <w:rFonts w:ascii="Times New Roman" w:hAnsi="Times New Roman"/>
                <w:sz w:val="24"/>
                <w:szCs w:val="24"/>
                <w:lang w:val="ro-RO"/>
              </w:rPr>
              <w:t>piaț</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 xml:space="preserve"> </w:t>
            </w:r>
            <w:r w:rsidR="007540AF" w:rsidRPr="00A723BA">
              <w:rPr>
                <w:rFonts w:ascii="Times New Roman" w:hAnsi="Times New Roman"/>
                <w:sz w:val="24"/>
                <w:szCs w:val="24"/>
                <w:lang w:val="ro-RO"/>
              </w:rPr>
              <w:t>ș</w:t>
            </w:r>
            <w:r w:rsidR="00921997" w:rsidRPr="00A723BA">
              <w:rPr>
                <w:rFonts w:ascii="Times New Roman" w:hAnsi="Times New Roman"/>
                <w:sz w:val="24"/>
                <w:szCs w:val="24"/>
                <w:lang w:val="ro-RO"/>
              </w:rPr>
              <w:t xml:space="preserve">i de echilibrare a </w:t>
            </w:r>
            <w:r w:rsidR="007540AF" w:rsidRPr="00A723BA">
              <w:rPr>
                <w:rFonts w:ascii="Times New Roman" w:hAnsi="Times New Roman"/>
                <w:sz w:val="24"/>
                <w:szCs w:val="24"/>
                <w:lang w:val="ro-RO"/>
              </w:rPr>
              <w:t>rețelelor</w:t>
            </w:r>
            <w:r w:rsidR="00921997" w:rsidRPr="00A723BA">
              <w:rPr>
                <w:rFonts w:ascii="Times New Roman" w:hAnsi="Times New Roman"/>
                <w:sz w:val="24"/>
                <w:szCs w:val="24"/>
                <w:lang w:val="ro-RO"/>
              </w:rPr>
              <w:t xml:space="preserve"> de energie electric</w:t>
            </w:r>
            <w:r w:rsidR="007540AF" w:rsidRPr="00A723BA">
              <w:rPr>
                <w:rFonts w:ascii="Times New Roman" w:hAnsi="Times New Roman"/>
                <w:sz w:val="24"/>
                <w:szCs w:val="24"/>
                <w:lang w:val="ro-RO" w:eastAsia="ro-RO" w:bidi="or-IN"/>
              </w:rPr>
              <w:t>ă</w:t>
            </w:r>
            <w:r w:rsidR="00921997" w:rsidRPr="00A723BA">
              <w:rPr>
                <w:rFonts w:ascii="Times New Roman" w:hAnsi="Times New Roman"/>
                <w:sz w:val="24"/>
                <w:szCs w:val="24"/>
                <w:lang w:val="ro-RO"/>
              </w:rPr>
              <w:t xml:space="preserve">, </w:t>
            </w:r>
            <w:r w:rsidR="007540AF" w:rsidRPr="00A723BA">
              <w:rPr>
                <w:rFonts w:ascii="Times New Roman" w:hAnsi="Times New Roman"/>
                <w:sz w:val="24"/>
                <w:szCs w:val="24"/>
                <w:lang w:val="ro-RO"/>
              </w:rPr>
              <w:t>ș</w:t>
            </w:r>
            <w:r w:rsidR="00921997" w:rsidRPr="00A723BA">
              <w:rPr>
                <w:rFonts w:ascii="Times New Roman" w:hAnsi="Times New Roman"/>
                <w:sz w:val="24"/>
                <w:szCs w:val="24"/>
                <w:lang w:val="ro-RO"/>
              </w:rPr>
              <w:t>.</w:t>
            </w:r>
            <w:r w:rsidR="007540AF" w:rsidRPr="00A723BA">
              <w:rPr>
                <w:rFonts w:ascii="Times New Roman" w:hAnsi="Times New Roman"/>
                <w:sz w:val="24"/>
                <w:szCs w:val="24"/>
                <w:lang w:val="ro-RO"/>
              </w:rPr>
              <w:t>a.</w:t>
            </w:r>
          </w:p>
          <w:p w14:paraId="2BB7AB56" w14:textId="4034CA79" w:rsidR="00A723BA" w:rsidRDefault="00A723BA" w:rsidP="00921997">
            <w:pPr>
              <w:spacing w:before="60" w:after="60" w:line="240" w:lineRule="auto"/>
              <w:ind w:firstLine="573"/>
              <w:jc w:val="both"/>
              <w:rPr>
                <w:rFonts w:ascii="Times New Roman" w:eastAsia="Times New Roman" w:hAnsi="Times New Roman"/>
                <w:sz w:val="24"/>
                <w:szCs w:val="24"/>
                <w:lang w:val="ro-RO" w:eastAsia="fr-FR"/>
              </w:rPr>
            </w:pPr>
            <w:r w:rsidRPr="00A723BA">
              <w:rPr>
                <w:rFonts w:ascii="Times New Roman" w:eastAsia="Times New Roman" w:hAnsi="Times New Roman"/>
                <w:sz w:val="24"/>
                <w:szCs w:val="24"/>
                <w:lang w:val="ro-RO" w:eastAsia="fr-FR"/>
              </w:rPr>
              <w:t>Prin adoptarea Legii nr. 107/2016 cu privire la energia electrică, a Legii nr. 108/2016 cu privire la gazele natu</w:t>
            </w:r>
            <w:r w:rsidRPr="00FD7B82">
              <w:rPr>
                <w:rFonts w:ascii="Times New Roman" w:eastAsia="Times New Roman" w:hAnsi="Times New Roman"/>
                <w:sz w:val="24"/>
                <w:szCs w:val="24"/>
                <w:lang w:val="ro-RO" w:eastAsia="fr-FR"/>
              </w:rPr>
              <w:t>rale și a Legii nr. 174/2017 cu privire la energetică Republica Moldova a transpus în legislația națională o parte importantă a prevederilor incluse în Pachetul Energetic III al Uniunii Europene, inclusiv capitolele referitoare la liberalizarea pieței energiei.</w:t>
            </w:r>
            <w:r>
              <w:rPr>
                <w:rFonts w:ascii="Times New Roman" w:eastAsia="Times New Roman" w:hAnsi="Times New Roman"/>
                <w:sz w:val="24"/>
                <w:szCs w:val="24"/>
                <w:lang w:val="ro-RO" w:eastAsia="fr-FR"/>
              </w:rPr>
              <w:t xml:space="preserve"> </w:t>
            </w:r>
            <w:r w:rsidRPr="00FD7B82">
              <w:rPr>
                <w:rFonts w:ascii="Times New Roman" w:eastAsia="Times New Roman" w:hAnsi="Times New Roman"/>
                <w:sz w:val="24"/>
                <w:szCs w:val="24"/>
                <w:lang w:val="ro-RO" w:eastAsia="fr-FR"/>
              </w:rPr>
              <w:t>Directiva UE 2019/943 cu privire la piața internă a energiei electrice și Regulamentul UE 2019/944 cu privire la energia electrică urmează a fi transpuse în legislația națională în viitorul apropiat.</w:t>
            </w:r>
            <w:r>
              <w:rPr>
                <w:rFonts w:ascii="Times New Roman" w:eastAsia="Times New Roman" w:hAnsi="Times New Roman"/>
                <w:sz w:val="24"/>
                <w:szCs w:val="24"/>
                <w:lang w:val="ro-RO" w:eastAsia="fr-FR"/>
              </w:rPr>
              <w:t xml:space="preserve"> </w:t>
            </w:r>
            <w:r w:rsidRPr="00FD7B82">
              <w:rPr>
                <w:rFonts w:ascii="Times New Roman" w:eastAsia="Times New Roman" w:hAnsi="Times New Roman"/>
                <w:sz w:val="24"/>
                <w:szCs w:val="24"/>
                <w:lang w:val="ro-RO" w:eastAsia="fr-FR"/>
              </w:rPr>
              <w:t>Legea nr. 10/2016 cu privire la promovarea energiei din surse regenerabile creează un cadru normativ favorabil generării energiei electrice din surse regenerabile</w:t>
            </w:r>
            <w:r>
              <w:rPr>
                <w:rFonts w:ascii="Times New Roman" w:eastAsia="Times New Roman" w:hAnsi="Times New Roman"/>
                <w:sz w:val="24"/>
                <w:szCs w:val="24"/>
                <w:lang w:val="ro-RO" w:eastAsia="fr-FR"/>
              </w:rPr>
              <w:t xml:space="preserve">. </w:t>
            </w:r>
            <w:r w:rsidRPr="00FD7B82">
              <w:rPr>
                <w:rFonts w:ascii="Times New Roman" w:eastAsia="Times New Roman" w:hAnsi="Times New Roman"/>
                <w:sz w:val="24"/>
                <w:szCs w:val="24"/>
                <w:lang w:val="ro-RO" w:eastAsia="fr-FR"/>
              </w:rPr>
              <w:t>Legea nr. 139/2018 cu privire la eficiența energetică subliniază în mod expres utilitatea PNEC, în calitatea sa de instrument de politici publice care permite stabilirea obiectivelor naționale în domeniul respectiv.</w:t>
            </w:r>
          </w:p>
          <w:p w14:paraId="7600B93D" w14:textId="49733F20" w:rsidR="00A723BA" w:rsidRDefault="00A723BA" w:rsidP="00921997">
            <w:pPr>
              <w:spacing w:before="60" w:after="60" w:line="240" w:lineRule="auto"/>
              <w:ind w:firstLine="573"/>
              <w:jc w:val="both"/>
              <w:rPr>
                <w:rFonts w:ascii="Times New Roman" w:eastAsia="Times New Roman" w:hAnsi="Times New Roman"/>
                <w:sz w:val="24"/>
                <w:szCs w:val="24"/>
                <w:lang w:val="ro-RO" w:eastAsia="fr-FR"/>
              </w:rPr>
            </w:pPr>
            <w:r w:rsidRPr="00FD7B82">
              <w:rPr>
                <w:rFonts w:ascii="Times New Roman" w:eastAsia="Times New Roman" w:hAnsi="Times New Roman"/>
                <w:sz w:val="24"/>
                <w:szCs w:val="24"/>
                <w:lang w:val="ro-RO" w:eastAsia="fr-FR"/>
              </w:rPr>
              <w:t xml:space="preserve">Legea nr. 92/2014 cu privire la energia termică și promovarea cogenerării reglementează activitatea sistemelor de alimentare centralizată cu energie termică, cu scopul de a îmbunătăți eficiența energetică și de a diminua efectele negative ale sub-sectorului energie termică asupra mediului înconjurător, inclusiv prin folosirea tehnologiilor moderne de cogenerare. Legea nr. </w:t>
            </w:r>
            <w:r w:rsidRPr="00FD7B82">
              <w:rPr>
                <w:rFonts w:ascii="Times New Roman" w:eastAsia="Times New Roman" w:hAnsi="Times New Roman"/>
                <w:sz w:val="24"/>
                <w:szCs w:val="24"/>
                <w:lang w:val="ro-RO" w:eastAsia="fr-FR"/>
              </w:rPr>
              <w:lastRenderedPageBreak/>
              <w:t>128/2014 privind performanța energetică a clădirilor stabilește cerințe cu privire la cadrul general pentru metodologia de calcul al performanței energetice a clădirilor și aplicarea cerințelor minime de performanță energetică pentru clădirile noi</w:t>
            </w:r>
            <w:r>
              <w:rPr>
                <w:rFonts w:ascii="Times New Roman" w:eastAsia="Times New Roman" w:hAnsi="Times New Roman"/>
                <w:sz w:val="24"/>
                <w:szCs w:val="24"/>
                <w:lang w:val="ro-RO" w:eastAsia="fr-FR"/>
              </w:rPr>
              <w:t>.</w:t>
            </w:r>
          </w:p>
          <w:p w14:paraId="3FBE683D" w14:textId="00D465CF" w:rsidR="00F75F06" w:rsidRPr="00526E74" w:rsidRDefault="00F75F06" w:rsidP="00921997">
            <w:pPr>
              <w:spacing w:before="60" w:after="60" w:line="240" w:lineRule="auto"/>
              <w:ind w:firstLine="573"/>
              <w:jc w:val="both"/>
              <w:rPr>
                <w:rFonts w:ascii="Times New Roman" w:hAnsi="Times New Roman"/>
                <w:sz w:val="24"/>
                <w:szCs w:val="24"/>
                <w:highlight w:val="yellow"/>
                <w:lang w:val="ro-RO"/>
              </w:rPr>
            </w:pPr>
            <w:r w:rsidRPr="007540AF">
              <w:rPr>
                <w:rFonts w:ascii="Times New Roman" w:hAnsi="Times New Roman"/>
                <w:sz w:val="24"/>
                <w:szCs w:val="24"/>
                <w:lang w:val="ro-RO"/>
              </w:rPr>
              <w:t>Obiectivele cu tangență de atenuare a emisiilo</w:t>
            </w:r>
            <w:r w:rsidRPr="00A723BA">
              <w:rPr>
                <w:rFonts w:ascii="Times New Roman" w:hAnsi="Times New Roman"/>
                <w:sz w:val="24"/>
                <w:szCs w:val="24"/>
                <w:lang w:val="ro-RO"/>
              </w:rPr>
              <w:t xml:space="preserve">r de </w:t>
            </w:r>
            <w:r w:rsidRPr="00A723BA">
              <w:rPr>
                <w:rFonts w:ascii="Times New Roman" w:hAnsi="Times New Roman"/>
                <w:sz w:val="24"/>
                <w:szCs w:val="24"/>
                <w:lang w:val="ro-RO" w:eastAsia="ro-RO" w:bidi="or-IN"/>
              </w:rPr>
              <w:t>gaze cu efect de seră</w:t>
            </w:r>
            <w:r w:rsidRPr="00A723BA">
              <w:rPr>
                <w:rFonts w:ascii="Times New Roman" w:hAnsi="Times New Roman"/>
                <w:sz w:val="24"/>
                <w:szCs w:val="24"/>
                <w:lang w:val="ro-RO"/>
              </w:rPr>
              <w:t>, sunt stipulate în mai multe documente politice, inclusiv: Strategia națională de dezvoltare „Moldova Europeană 2030”, Programul de Dezvoltare cu Emisii Reduse până̆ în anul 2030, Strategia Energetică a Republicii Moldova până̆ în anul 2030, Strategia Națională pentru gestionarea deșeurilor 2013-2027 etc.</w:t>
            </w:r>
          </w:p>
          <w:p w14:paraId="4A5C8F89" w14:textId="68906676" w:rsidR="006D0B0F" w:rsidRPr="001B0984" w:rsidRDefault="00B01241" w:rsidP="007B2A01">
            <w:pPr>
              <w:spacing w:before="60" w:after="60" w:line="240" w:lineRule="auto"/>
              <w:ind w:firstLine="573"/>
              <w:jc w:val="both"/>
              <w:rPr>
                <w:rFonts w:ascii="Times New Roman" w:hAnsi="Times New Roman"/>
                <w:sz w:val="24"/>
                <w:szCs w:val="24"/>
                <w:lang w:val="ro-RO"/>
              </w:rPr>
            </w:pPr>
            <w:r w:rsidRPr="00ED2086">
              <w:rPr>
                <w:rFonts w:ascii="Times New Roman" w:hAnsi="Times New Roman"/>
                <w:sz w:val="24"/>
                <w:szCs w:val="24"/>
                <w:lang w:val="ro-RO"/>
              </w:rPr>
              <w:t xml:space="preserve">Proiectul </w:t>
            </w:r>
            <w:r w:rsidR="00960525" w:rsidRPr="00ED2086">
              <w:rPr>
                <w:rFonts w:ascii="Times New Roman" w:hAnsi="Times New Roman"/>
                <w:sz w:val="24"/>
                <w:szCs w:val="24"/>
                <w:lang w:val="ro-RO"/>
              </w:rPr>
              <w:t>hotărârii</w:t>
            </w:r>
            <w:r w:rsidRPr="00ED2086">
              <w:rPr>
                <w:rFonts w:ascii="Times New Roman" w:hAnsi="Times New Roman"/>
                <w:sz w:val="24"/>
                <w:szCs w:val="24"/>
                <w:lang w:val="ro-RO"/>
              </w:rPr>
              <w:t xml:space="preserve"> de Guvern pentru aprobarea</w:t>
            </w:r>
            <w:r w:rsidR="00960525" w:rsidRPr="00ED2086">
              <w:rPr>
                <w:rFonts w:ascii="Times New Roman" w:hAnsi="Times New Roman"/>
                <w:sz w:val="24"/>
                <w:szCs w:val="24"/>
                <w:lang w:val="ro-RO"/>
              </w:rPr>
              <w:t xml:space="preserve"> </w:t>
            </w:r>
            <w:r w:rsidR="00915A3B" w:rsidRPr="00ED2086">
              <w:rPr>
                <w:rFonts w:ascii="Times New Roman" w:hAnsi="Times New Roman"/>
                <w:sz w:val="24"/>
                <w:szCs w:val="24"/>
                <w:lang w:val="ro-RO"/>
              </w:rPr>
              <w:t xml:space="preserve"> Planului Național integrat privind Energia și Clima </w:t>
            </w:r>
            <w:r w:rsidRPr="00ED2086">
              <w:rPr>
                <w:rFonts w:ascii="Times New Roman" w:hAnsi="Times New Roman"/>
                <w:sz w:val="24"/>
                <w:szCs w:val="24"/>
                <w:lang w:val="ro-RO"/>
              </w:rPr>
              <w:t xml:space="preserve"> este un act normativ finit și nu necesită elaborarea actelor normative noi.</w:t>
            </w:r>
          </w:p>
        </w:tc>
      </w:tr>
      <w:tr w:rsidR="00756A93" w:rsidRPr="00F93E0B" w14:paraId="18AC2E55" w14:textId="77777777" w:rsidTr="00403D69">
        <w:tc>
          <w:tcPr>
            <w:tcW w:w="5000" w:type="pct"/>
            <w:shd w:val="clear" w:color="auto" w:fill="D9D9D9" w:themeFill="background1" w:themeFillShade="D9"/>
          </w:tcPr>
          <w:p w14:paraId="546DF065" w14:textId="2E3CA37F" w:rsidR="007609FD" w:rsidRPr="001B0984" w:rsidRDefault="007609FD"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lastRenderedPageBreak/>
              <w:t xml:space="preserve">7. Avizarea </w:t>
            </w:r>
            <w:r w:rsidR="00DC11BA" w:rsidRPr="001B0984">
              <w:rPr>
                <w:rFonts w:ascii="Times New Roman" w:hAnsi="Times New Roman"/>
                <w:sz w:val="24"/>
                <w:szCs w:val="24"/>
                <w:lang w:val="ro-RO"/>
              </w:rPr>
              <w:t>și</w:t>
            </w:r>
            <w:r w:rsidRPr="001B0984">
              <w:rPr>
                <w:rFonts w:ascii="Times New Roman" w:hAnsi="Times New Roman"/>
                <w:sz w:val="24"/>
                <w:szCs w:val="24"/>
                <w:lang w:val="ro-RO"/>
              </w:rPr>
              <w:t xml:space="preserve"> consultarea publică a proiectului</w:t>
            </w:r>
          </w:p>
        </w:tc>
      </w:tr>
      <w:tr w:rsidR="00756A93" w:rsidRPr="00F93E0B" w14:paraId="09F5D909" w14:textId="77777777" w:rsidTr="00403D69">
        <w:tc>
          <w:tcPr>
            <w:tcW w:w="5000" w:type="pct"/>
          </w:tcPr>
          <w:p w14:paraId="3BFDE144" w14:textId="77777777" w:rsidR="00960525" w:rsidRPr="001B0984" w:rsidRDefault="00357691" w:rsidP="00450329">
            <w:pPr>
              <w:pStyle w:val="NormalWeb"/>
              <w:spacing w:before="60" w:beforeAutospacing="0" w:after="60" w:afterAutospacing="0"/>
              <w:ind w:firstLine="601"/>
              <w:jc w:val="both"/>
              <w:rPr>
                <w:rFonts w:ascii="Times New Roman" w:hAnsi="Times New Roman"/>
                <w:sz w:val="24"/>
                <w:szCs w:val="24"/>
                <w:lang w:val="ro-RO"/>
              </w:rPr>
            </w:pPr>
            <w:r w:rsidRPr="001B0984">
              <w:rPr>
                <w:rFonts w:ascii="Times New Roman" w:hAnsi="Times New Roman"/>
                <w:sz w:val="24"/>
                <w:szCs w:val="24"/>
                <w:lang w:val="ro-RO"/>
              </w:rPr>
              <w:t>În procesul de elaborare a proiectului de act normativ au fost respectate regulile procedurale aplicabile pentru asigurarea transparenței decizionale, prevăzute de Legea nr.239</w:t>
            </w:r>
            <w:r w:rsidR="001407B3" w:rsidRPr="001B0984">
              <w:rPr>
                <w:rFonts w:ascii="Times New Roman" w:hAnsi="Times New Roman"/>
                <w:sz w:val="24"/>
                <w:szCs w:val="24"/>
                <w:shd w:val="clear" w:color="auto" w:fill="FFFFFF"/>
                <w:lang w:val="ro-RO"/>
              </w:rPr>
              <w:t>/</w:t>
            </w:r>
            <w:r w:rsidRPr="001B0984">
              <w:rPr>
                <w:rFonts w:ascii="Times New Roman" w:hAnsi="Times New Roman"/>
                <w:sz w:val="24"/>
                <w:szCs w:val="24"/>
                <w:lang w:val="ro-RO"/>
              </w:rPr>
              <w:t xml:space="preserve">2008 privind transparența în procesul decizional. </w:t>
            </w:r>
          </w:p>
          <w:p w14:paraId="3E6E9636" w14:textId="7C97B54B" w:rsidR="00960525" w:rsidRPr="001B0984" w:rsidRDefault="00960525" w:rsidP="00450329">
            <w:pPr>
              <w:pStyle w:val="NormalWeb"/>
              <w:spacing w:before="60" w:beforeAutospacing="0" w:after="60" w:afterAutospacing="0"/>
              <w:ind w:firstLine="601"/>
              <w:jc w:val="both"/>
              <w:rPr>
                <w:rFonts w:ascii="Times New Roman" w:hAnsi="Times New Roman"/>
                <w:sz w:val="24"/>
                <w:szCs w:val="24"/>
                <w:lang w:val="ro-RO"/>
              </w:rPr>
            </w:pPr>
            <w:r w:rsidRPr="001B0984">
              <w:rPr>
                <w:rFonts w:ascii="Times New Roman" w:hAnsi="Times New Roman"/>
                <w:sz w:val="24"/>
                <w:szCs w:val="24"/>
                <w:lang w:val="ro-RO"/>
              </w:rPr>
              <w:t>În conformitate cu prevederile Hotărârii Guvernului nr. 386/2020 cu privire la planificarea, elaborarea, aprobarea, implementarea, monitorizarea și evaluarea documentelor de politici publice a fost elaborat Conceptul P</w:t>
            </w:r>
            <w:r w:rsidR="00955B74">
              <w:rPr>
                <w:rFonts w:ascii="Times New Roman" w:hAnsi="Times New Roman"/>
                <w:sz w:val="24"/>
                <w:szCs w:val="24"/>
                <w:lang w:val="ro-RO"/>
              </w:rPr>
              <w:t>lanului Na</w:t>
            </w:r>
            <w:r w:rsidR="001108C7" w:rsidRPr="001B0984">
              <w:rPr>
                <w:rFonts w:ascii="Times New Roman" w:hAnsi="Times New Roman"/>
                <w:sz w:val="24"/>
                <w:szCs w:val="24"/>
                <w:lang w:val="ro-RO"/>
              </w:rPr>
              <w:t>ț</w:t>
            </w:r>
            <w:r w:rsidR="00955B74">
              <w:rPr>
                <w:rFonts w:ascii="Times New Roman" w:hAnsi="Times New Roman"/>
                <w:sz w:val="24"/>
                <w:szCs w:val="24"/>
                <w:lang w:val="ro-RO"/>
              </w:rPr>
              <w:t xml:space="preserve">ional integrat privind Energia </w:t>
            </w:r>
            <w:r w:rsidR="001108C7" w:rsidRPr="001B0984">
              <w:rPr>
                <w:rFonts w:ascii="Times New Roman" w:hAnsi="Times New Roman"/>
                <w:sz w:val="24"/>
                <w:szCs w:val="24"/>
                <w:lang w:val="ro-RO"/>
              </w:rPr>
              <w:t>ș</w:t>
            </w:r>
            <w:r w:rsidR="00955B74">
              <w:rPr>
                <w:rFonts w:ascii="Times New Roman" w:hAnsi="Times New Roman"/>
                <w:sz w:val="24"/>
                <w:szCs w:val="24"/>
                <w:lang w:val="ro-RO"/>
              </w:rPr>
              <w:t>i Clima</w:t>
            </w:r>
            <w:r w:rsidRPr="001B0984">
              <w:rPr>
                <w:rFonts w:ascii="Times New Roman" w:hAnsi="Times New Roman"/>
                <w:sz w:val="24"/>
                <w:szCs w:val="24"/>
                <w:lang w:val="ro-RO"/>
              </w:rPr>
              <w:t xml:space="preserve">. </w:t>
            </w:r>
          </w:p>
          <w:p w14:paraId="4FAA2BA6" w14:textId="038E371A" w:rsidR="00557102" w:rsidRPr="00F75F06" w:rsidRDefault="00960525" w:rsidP="00450329">
            <w:pPr>
              <w:pStyle w:val="NormalWeb"/>
              <w:spacing w:before="60" w:beforeAutospacing="0" w:after="60" w:afterAutospacing="0"/>
              <w:ind w:firstLine="601"/>
              <w:jc w:val="both"/>
              <w:rPr>
                <w:rFonts w:ascii="Times New Roman" w:eastAsia="Calibri" w:hAnsi="Times New Roman"/>
                <w:i/>
                <w:sz w:val="24"/>
                <w:szCs w:val="24"/>
                <w:lang w:val="ro-RO"/>
              </w:rPr>
            </w:pPr>
            <w:r w:rsidRPr="001B0984">
              <w:rPr>
                <w:rFonts w:ascii="Times New Roman" w:hAnsi="Times New Roman"/>
                <w:sz w:val="24"/>
                <w:szCs w:val="24"/>
                <w:lang w:val="ro-RO"/>
              </w:rPr>
              <w:t>P</w:t>
            </w:r>
            <w:r w:rsidR="00955B74">
              <w:rPr>
                <w:rFonts w:ascii="Times New Roman" w:hAnsi="Times New Roman"/>
                <w:sz w:val="24"/>
                <w:szCs w:val="24"/>
                <w:lang w:val="ro-RO"/>
              </w:rPr>
              <w:t xml:space="preserve">NEC </w:t>
            </w:r>
            <w:r w:rsidRPr="001B0984">
              <w:rPr>
                <w:rFonts w:ascii="Times New Roman" w:hAnsi="Times New Roman"/>
                <w:sz w:val="24"/>
                <w:szCs w:val="24"/>
                <w:lang w:val="ro-RO"/>
              </w:rPr>
              <w:t xml:space="preserve">a fost examinat </w:t>
            </w:r>
            <w:r w:rsidRPr="007B2A01">
              <w:rPr>
                <w:rFonts w:ascii="Times New Roman" w:hAnsi="Times New Roman"/>
                <w:sz w:val="24"/>
                <w:szCs w:val="24"/>
                <w:lang w:val="ro-RO"/>
              </w:rPr>
              <w:t>în cadrul ședințe</w:t>
            </w:r>
            <w:r w:rsidR="007B2A01" w:rsidRPr="007B2A01">
              <w:rPr>
                <w:rFonts w:ascii="Times New Roman" w:hAnsi="Times New Roman"/>
                <w:sz w:val="24"/>
                <w:szCs w:val="24"/>
                <w:lang w:val="ro-RO"/>
              </w:rPr>
              <w:t>lor</w:t>
            </w:r>
            <w:r w:rsidRPr="007B2A01">
              <w:rPr>
                <w:rFonts w:ascii="Times New Roman" w:hAnsi="Times New Roman"/>
                <w:sz w:val="24"/>
                <w:szCs w:val="24"/>
                <w:lang w:val="ro-RO"/>
              </w:rPr>
              <w:t xml:space="preserve"> cu implicarea reprezentanților instituțiilor de resort</w:t>
            </w:r>
            <w:r w:rsidR="007B2A01" w:rsidRPr="007B2A01">
              <w:rPr>
                <w:rFonts w:ascii="Times New Roman" w:hAnsi="Times New Roman"/>
                <w:sz w:val="24"/>
                <w:szCs w:val="24"/>
                <w:lang w:val="ro-RO"/>
              </w:rPr>
              <w:t xml:space="preserve"> și a mai multor experți</w:t>
            </w:r>
            <w:r w:rsidRPr="007B2A01">
              <w:rPr>
                <w:rFonts w:ascii="Times New Roman" w:hAnsi="Times New Roman"/>
                <w:sz w:val="24"/>
                <w:szCs w:val="24"/>
                <w:lang w:val="ro-RO"/>
              </w:rPr>
              <w:t xml:space="preserve"> </w:t>
            </w:r>
            <w:r w:rsidR="007B2A01" w:rsidRPr="007B2A01">
              <w:rPr>
                <w:rFonts w:ascii="Times New Roman" w:hAnsi="Times New Roman"/>
                <w:sz w:val="24"/>
                <w:szCs w:val="24"/>
                <w:lang w:val="ro-RO"/>
              </w:rPr>
              <w:t>car</w:t>
            </w:r>
            <w:r w:rsidR="007B2A01" w:rsidRPr="00F75F06">
              <w:rPr>
                <w:rFonts w:ascii="Times New Roman" w:hAnsi="Times New Roman"/>
                <w:sz w:val="24"/>
                <w:szCs w:val="24"/>
                <w:lang w:val="ro-RO"/>
              </w:rPr>
              <w:t>e au avut loc pe 30.09.2023 și 29.11.2023</w:t>
            </w:r>
            <w:r w:rsidRPr="00F75F06">
              <w:rPr>
                <w:rFonts w:ascii="Times New Roman" w:eastAsia="Calibri" w:hAnsi="Times New Roman"/>
                <w:i/>
                <w:sz w:val="24"/>
                <w:szCs w:val="24"/>
                <w:lang w:val="ro-RO"/>
              </w:rPr>
              <w:t>.</w:t>
            </w:r>
          </w:p>
          <w:p w14:paraId="3A05D579" w14:textId="1E8F6FC1" w:rsidR="00513786" w:rsidRPr="00F75F06" w:rsidRDefault="00557102" w:rsidP="00450329">
            <w:pPr>
              <w:pStyle w:val="NormalWeb"/>
              <w:spacing w:before="60" w:beforeAutospacing="0" w:after="60" w:afterAutospacing="0"/>
              <w:ind w:firstLine="601"/>
              <w:jc w:val="both"/>
              <w:rPr>
                <w:rFonts w:ascii="Times New Roman" w:hAnsi="Times New Roman"/>
                <w:sz w:val="24"/>
                <w:szCs w:val="24"/>
                <w:lang w:val="ro-RO"/>
              </w:rPr>
            </w:pPr>
            <w:r w:rsidRPr="00F75F06">
              <w:rPr>
                <w:rFonts w:ascii="Times New Roman" w:hAnsi="Times New Roman"/>
                <w:sz w:val="24"/>
                <w:szCs w:val="24"/>
                <w:lang w:val="ro-RO"/>
              </w:rPr>
              <w:t>P</w:t>
            </w:r>
            <w:r w:rsidR="00955B74" w:rsidRPr="00F75F06">
              <w:rPr>
                <w:rFonts w:ascii="Times New Roman" w:hAnsi="Times New Roman"/>
                <w:sz w:val="24"/>
                <w:szCs w:val="24"/>
                <w:lang w:val="ro-RO"/>
              </w:rPr>
              <w:t xml:space="preserve">NEC </w:t>
            </w:r>
            <w:r w:rsidRPr="00F75F06">
              <w:rPr>
                <w:rFonts w:ascii="Times New Roman" w:hAnsi="Times New Roman"/>
                <w:sz w:val="24"/>
                <w:szCs w:val="24"/>
                <w:lang w:val="ro-RO"/>
              </w:rPr>
              <w:t xml:space="preserve">intră în categoria planurilor </w:t>
            </w:r>
            <w:r w:rsidR="00EB010D" w:rsidRPr="00F75F06">
              <w:rPr>
                <w:rFonts w:ascii="Times New Roman" w:hAnsi="Times New Roman"/>
                <w:sz w:val="24"/>
                <w:szCs w:val="24"/>
                <w:lang w:val="ro-RO"/>
              </w:rPr>
              <w:t>și</w:t>
            </w:r>
            <w:r w:rsidRPr="00F75F06">
              <w:rPr>
                <w:rFonts w:ascii="Times New Roman" w:hAnsi="Times New Roman"/>
                <w:sz w:val="24"/>
                <w:szCs w:val="24"/>
                <w:lang w:val="ro-RO"/>
              </w:rPr>
              <w:t xml:space="preserve"> programelor prevăzute la art. 3 alin. (2) și (3) din Legea nr. 11/2017 privind evaluarea strategică de mediu</w:t>
            </w:r>
            <w:r w:rsidR="00093D74" w:rsidRPr="00F75F06">
              <w:rPr>
                <w:rFonts w:ascii="Times New Roman" w:hAnsi="Times New Roman"/>
                <w:sz w:val="24"/>
                <w:szCs w:val="24"/>
                <w:lang w:val="ro-RO"/>
              </w:rPr>
              <w:t xml:space="preserve"> (ESM)</w:t>
            </w:r>
            <w:r w:rsidRPr="00F75F06">
              <w:rPr>
                <w:rFonts w:ascii="Times New Roman" w:hAnsi="Times New Roman"/>
                <w:sz w:val="24"/>
                <w:szCs w:val="24"/>
                <w:lang w:val="ro-RO"/>
              </w:rPr>
              <w:t xml:space="preserve"> și pct. 22 și pct. 23 din Ordinul nr. OMADRM 219/2018, care se supun în mod obligatoriu procedurii ESM. </w:t>
            </w:r>
          </w:p>
          <w:p w14:paraId="1A999594" w14:textId="7C2BA636" w:rsidR="00557102" w:rsidRPr="00F75F06" w:rsidRDefault="00557102" w:rsidP="00450329">
            <w:pPr>
              <w:pStyle w:val="NormalWeb"/>
              <w:spacing w:before="60" w:beforeAutospacing="0" w:after="60" w:afterAutospacing="0"/>
              <w:ind w:firstLine="601"/>
              <w:jc w:val="both"/>
              <w:rPr>
                <w:rFonts w:ascii="Times New Roman" w:eastAsia="Calibri" w:hAnsi="Times New Roman"/>
                <w:i/>
                <w:sz w:val="24"/>
                <w:szCs w:val="24"/>
                <w:lang w:val="ro-RO"/>
              </w:rPr>
            </w:pPr>
            <w:r w:rsidRPr="00F75F06">
              <w:rPr>
                <w:rFonts w:ascii="Times New Roman" w:hAnsi="Times New Roman"/>
                <w:sz w:val="24"/>
                <w:szCs w:val="24"/>
                <w:lang w:val="ro-RO"/>
              </w:rPr>
              <w:t xml:space="preserve">Raportul privind evaluarea strategică de mediu pentru </w:t>
            </w:r>
            <w:r w:rsidR="007B2A01" w:rsidRPr="00F75F06">
              <w:rPr>
                <w:rFonts w:ascii="Times New Roman" w:hAnsi="Times New Roman"/>
                <w:sz w:val="24"/>
                <w:szCs w:val="24"/>
                <w:lang w:val="ro-RO"/>
              </w:rPr>
              <w:t>PNEC</w:t>
            </w:r>
            <w:r w:rsidRPr="00F75F06">
              <w:rPr>
                <w:rFonts w:ascii="Times New Roman" w:hAnsi="Times New Roman"/>
                <w:sz w:val="24"/>
                <w:szCs w:val="24"/>
                <w:lang w:val="ro-RO"/>
              </w:rPr>
              <w:t xml:space="preserve"> poate fi accesat pe pagina web oficială a Ministerului Mediului</w:t>
            </w:r>
            <w:r w:rsidR="00F75F06" w:rsidRPr="00F75F06">
              <w:rPr>
                <w:rFonts w:ascii="Times New Roman" w:hAnsi="Times New Roman"/>
                <w:sz w:val="24"/>
                <w:szCs w:val="24"/>
                <w:lang w:val="ro-RO"/>
              </w:rPr>
              <w:t xml:space="preserve">: </w:t>
            </w:r>
            <w:r w:rsidR="00F75F06" w:rsidRPr="00F75F06">
              <w:rPr>
                <w:lang w:val="ro-RO"/>
              </w:rPr>
              <w:t xml:space="preserve"> </w:t>
            </w:r>
            <w:r w:rsidR="00F75F06" w:rsidRPr="00F75F06">
              <w:rPr>
                <w:rFonts w:ascii="Times New Roman" w:hAnsi="Times New Roman"/>
                <w:sz w:val="24"/>
                <w:szCs w:val="24"/>
                <w:u w:val="single"/>
                <w:lang w:val="ro-RO"/>
              </w:rPr>
              <w:t>https://mediu.gov.md/ro/content/evaluare-strategic%C4%83-de-mediu-la-nivel-na%C8%9Bional</w:t>
            </w:r>
          </w:p>
          <w:p w14:paraId="207A2BFA" w14:textId="324085D4" w:rsidR="00B0798E" w:rsidRPr="001B0984" w:rsidRDefault="00557102" w:rsidP="00955B74">
            <w:pPr>
              <w:pStyle w:val="NormalWeb"/>
              <w:spacing w:before="60" w:beforeAutospacing="0" w:after="60" w:afterAutospacing="0"/>
              <w:ind w:firstLine="601"/>
              <w:jc w:val="both"/>
              <w:rPr>
                <w:rFonts w:ascii="Times New Roman" w:hAnsi="Times New Roman"/>
                <w:sz w:val="24"/>
                <w:szCs w:val="24"/>
                <w:lang w:val="ro-RO"/>
              </w:rPr>
            </w:pPr>
            <w:r w:rsidRPr="00F75F06">
              <w:rPr>
                <w:rFonts w:ascii="Times New Roman" w:hAnsi="Times New Roman"/>
                <w:sz w:val="24"/>
                <w:szCs w:val="24"/>
                <w:lang w:val="ro-RO"/>
              </w:rPr>
              <w:t>P</w:t>
            </w:r>
            <w:r w:rsidR="00955B74" w:rsidRPr="00F75F06">
              <w:rPr>
                <w:rFonts w:ascii="Times New Roman" w:hAnsi="Times New Roman"/>
                <w:sz w:val="24"/>
                <w:szCs w:val="24"/>
                <w:lang w:val="ro-RO"/>
              </w:rPr>
              <w:t>NEC</w:t>
            </w:r>
            <w:r w:rsidRPr="00F75F06">
              <w:rPr>
                <w:rFonts w:ascii="Times New Roman" w:hAnsi="Times New Roman"/>
                <w:sz w:val="24"/>
                <w:szCs w:val="24"/>
                <w:lang w:val="ro-RO"/>
              </w:rPr>
              <w:t xml:space="preserve"> </w:t>
            </w:r>
            <w:r w:rsidR="00955B74" w:rsidRPr="00F75F06">
              <w:rPr>
                <w:rFonts w:ascii="Times New Roman" w:hAnsi="Times New Roman"/>
                <w:sz w:val="24"/>
                <w:szCs w:val="24"/>
                <w:lang w:val="ro-RO"/>
              </w:rPr>
              <w:t>este</w:t>
            </w:r>
            <w:r w:rsidR="00357691" w:rsidRPr="00F75F06">
              <w:rPr>
                <w:rFonts w:ascii="Times New Roman" w:hAnsi="Times New Roman"/>
                <w:sz w:val="24"/>
                <w:szCs w:val="24"/>
                <w:lang w:val="ro-RO"/>
              </w:rPr>
              <w:t xml:space="preserve"> disponibil publicului pe pagina web oficială a Ministerului </w:t>
            </w:r>
            <w:r w:rsidR="00955B74" w:rsidRPr="00F75F06">
              <w:rPr>
                <w:rFonts w:ascii="Times New Roman" w:hAnsi="Times New Roman"/>
                <w:sz w:val="24"/>
                <w:szCs w:val="24"/>
                <w:lang w:val="ro-RO"/>
              </w:rPr>
              <w:t xml:space="preserve">Energiei </w:t>
            </w:r>
            <w:r w:rsidR="001407B3" w:rsidRPr="00F75F06">
              <w:rPr>
                <w:rFonts w:ascii="Times New Roman" w:hAnsi="Times New Roman"/>
                <w:sz w:val="24"/>
                <w:szCs w:val="24"/>
                <w:lang w:val="ro-RO"/>
              </w:rPr>
              <w:t>la</w:t>
            </w:r>
            <w:r w:rsidR="00357691" w:rsidRPr="00F75F06">
              <w:rPr>
                <w:rFonts w:ascii="Times New Roman" w:hAnsi="Times New Roman"/>
                <w:sz w:val="24"/>
                <w:szCs w:val="24"/>
                <w:lang w:val="ro-RO"/>
              </w:rPr>
              <w:t xml:space="preserve"> rubrica Transparența decizională/Proiecte de documente și pe pagi</w:t>
            </w:r>
            <w:r w:rsidR="00357691" w:rsidRPr="001B0984">
              <w:rPr>
                <w:rFonts w:ascii="Times New Roman" w:hAnsi="Times New Roman"/>
                <w:sz w:val="24"/>
                <w:szCs w:val="24"/>
                <w:lang w:val="ro-RO"/>
              </w:rPr>
              <w:t>na web</w:t>
            </w:r>
            <w:r w:rsidR="00936E1D" w:rsidRPr="001B0984">
              <w:rPr>
                <w:rFonts w:ascii="Times New Roman" w:hAnsi="Times New Roman"/>
                <w:sz w:val="24"/>
                <w:szCs w:val="24"/>
                <w:lang w:val="ro-RO"/>
              </w:rPr>
              <w:t xml:space="preserve"> </w:t>
            </w:r>
            <w:hyperlink r:id="rId8" w:history="1">
              <w:r w:rsidR="00960525" w:rsidRPr="001B0984">
                <w:rPr>
                  <w:rStyle w:val="Hyperlink"/>
                  <w:rFonts w:ascii="Times New Roman" w:hAnsi="Times New Roman"/>
                  <w:color w:val="auto"/>
                  <w:sz w:val="24"/>
                  <w:szCs w:val="24"/>
                  <w:lang w:val="ro-RO"/>
                </w:rPr>
                <w:t>www.particip.gov.md</w:t>
              </w:r>
            </w:hyperlink>
            <w:r w:rsidR="00960525" w:rsidRPr="001B0984">
              <w:rPr>
                <w:rFonts w:ascii="Times New Roman" w:hAnsi="Times New Roman"/>
                <w:sz w:val="24"/>
                <w:szCs w:val="24"/>
                <w:lang w:val="ro-RO"/>
              </w:rPr>
              <w:t>.</w:t>
            </w:r>
            <w:r w:rsidRPr="001B0984">
              <w:rPr>
                <w:rFonts w:ascii="Times New Roman" w:hAnsi="Times New Roman"/>
                <w:sz w:val="24"/>
                <w:szCs w:val="24"/>
                <w:lang w:val="ro-RO"/>
              </w:rPr>
              <w:t xml:space="preserve"> </w:t>
            </w:r>
            <w:r w:rsidRPr="001B0984">
              <w:rPr>
                <w:lang w:val="ro-RO"/>
              </w:rPr>
              <w:t xml:space="preserve"> </w:t>
            </w:r>
          </w:p>
        </w:tc>
      </w:tr>
      <w:tr w:rsidR="00756A93" w:rsidRPr="001B0984" w14:paraId="73E3111A" w14:textId="77777777" w:rsidTr="00403D69">
        <w:tc>
          <w:tcPr>
            <w:tcW w:w="5000" w:type="pct"/>
            <w:shd w:val="clear" w:color="auto" w:fill="D9D9D9" w:themeFill="background1" w:themeFillShade="D9"/>
          </w:tcPr>
          <w:p w14:paraId="174602B8" w14:textId="46204276" w:rsidR="007609FD" w:rsidRPr="001B0984" w:rsidRDefault="00E06F0C"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t>8</w:t>
            </w:r>
            <w:r w:rsidR="007609FD" w:rsidRPr="001B0984">
              <w:rPr>
                <w:rFonts w:ascii="Times New Roman" w:hAnsi="Times New Roman"/>
                <w:sz w:val="24"/>
                <w:szCs w:val="24"/>
                <w:lang w:val="ro-RO"/>
              </w:rPr>
              <w:t>. Constatările expertizei de compatibilitate</w:t>
            </w:r>
          </w:p>
        </w:tc>
      </w:tr>
      <w:tr w:rsidR="00756A93" w:rsidRPr="00731B6A" w14:paraId="3F16FEEA" w14:textId="77777777" w:rsidTr="00403D69">
        <w:tc>
          <w:tcPr>
            <w:tcW w:w="5000" w:type="pct"/>
          </w:tcPr>
          <w:p w14:paraId="0FDB828E" w14:textId="77777777" w:rsidR="00093D74" w:rsidRDefault="00093D74" w:rsidP="00AA4445">
            <w:pPr>
              <w:tabs>
                <w:tab w:val="left" w:pos="884"/>
                <w:tab w:val="left" w:pos="1196"/>
              </w:tabs>
              <w:autoSpaceDE w:val="0"/>
              <w:autoSpaceDN w:val="0"/>
              <w:adjustRightInd w:val="0"/>
              <w:spacing w:after="120" w:line="240" w:lineRule="auto"/>
              <w:jc w:val="both"/>
              <w:rPr>
                <w:rFonts w:ascii="Times New Roman" w:hAnsi="Times New Roman"/>
                <w:sz w:val="24"/>
                <w:szCs w:val="24"/>
                <w:lang w:val="ro-RO"/>
              </w:rPr>
            </w:pPr>
          </w:p>
          <w:p w14:paraId="6913FE7D" w14:textId="1A7EB103" w:rsidR="00F75F06" w:rsidRPr="001B0984" w:rsidRDefault="00F75F06" w:rsidP="00AA4445">
            <w:pPr>
              <w:tabs>
                <w:tab w:val="left" w:pos="884"/>
                <w:tab w:val="left" w:pos="1196"/>
              </w:tabs>
              <w:autoSpaceDE w:val="0"/>
              <w:autoSpaceDN w:val="0"/>
              <w:adjustRightInd w:val="0"/>
              <w:spacing w:after="120" w:line="240" w:lineRule="auto"/>
              <w:jc w:val="both"/>
              <w:rPr>
                <w:rFonts w:ascii="Times New Roman" w:hAnsi="Times New Roman"/>
                <w:sz w:val="24"/>
                <w:szCs w:val="24"/>
                <w:lang w:val="ro-RO"/>
              </w:rPr>
            </w:pPr>
          </w:p>
        </w:tc>
      </w:tr>
      <w:tr w:rsidR="00756A93" w:rsidRPr="001B0984" w14:paraId="1E51D615" w14:textId="77777777" w:rsidTr="00403D69">
        <w:tc>
          <w:tcPr>
            <w:tcW w:w="5000" w:type="pct"/>
            <w:shd w:val="clear" w:color="auto" w:fill="D9D9D9" w:themeFill="background1" w:themeFillShade="D9"/>
          </w:tcPr>
          <w:p w14:paraId="703E3A5C" w14:textId="1C6257C6" w:rsidR="00093D74" w:rsidRPr="001B0984" w:rsidRDefault="00E06F0C" w:rsidP="00403D69">
            <w:pPr>
              <w:tabs>
                <w:tab w:val="left" w:pos="884"/>
                <w:tab w:val="left" w:pos="1196"/>
              </w:tabs>
              <w:spacing w:after="0" w:line="240" w:lineRule="auto"/>
              <w:jc w:val="both"/>
              <w:rPr>
                <w:rFonts w:ascii="Times New Roman" w:hAnsi="Times New Roman"/>
                <w:sz w:val="24"/>
                <w:szCs w:val="24"/>
                <w:lang w:val="ro-RO"/>
              </w:rPr>
            </w:pPr>
            <w:r w:rsidRPr="001B0984">
              <w:rPr>
                <w:rFonts w:ascii="Times New Roman" w:hAnsi="Times New Roman"/>
                <w:sz w:val="24"/>
                <w:szCs w:val="24"/>
                <w:lang w:val="ro-RO"/>
              </w:rPr>
              <w:t>9</w:t>
            </w:r>
            <w:r w:rsidR="00093D74" w:rsidRPr="001B0984">
              <w:rPr>
                <w:rFonts w:ascii="Times New Roman" w:hAnsi="Times New Roman"/>
                <w:sz w:val="24"/>
                <w:szCs w:val="24"/>
                <w:lang w:val="ro-RO"/>
              </w:rPr>
              <w:t>. Constatările expertizei juridice</w:t>
            </w:r>
          </w:p>
        </w:tc>
      </w:tr>
      <w:tr w:rsidR="00756A93" w:rsidRPr="00731B6A" w14:paraId="2F476176" w14:textId="77777777" w:rsidTr="00403D69">
        <w:tc>
          <w:tcPr>
            <w:tcW w:w="5000" w:type="pct"/>
          </w:tcPr>
          <w:p w14:paraId="47B236C0" w14:textId="77777777" w:rsidR="00EA3271" w:rsidRDefault="00EA3271" w:rsidP="00955B74">
            <w:pPr>
              <w:tabs>
                <w:tab w:val="left" w:pos="884"/>
                <w:tab w:val="left" w:pos="1196"/>
              </w:tabs>
              <w:spacing w:after="120" w:line="240" w:lineRule="auto"/>
              <w:jc w:val="both"/>
              <w:rPr>
                <w:rFonts w:ascii="Times New Roman" w:hAnsi="Times New Roman"/>
                <w:sz w:val="24"/>
                <w:szCs w:val="24"/>
                <w:highlight w:val="yellow"/>
                <w:lang w:val="ro-RO"/>
              </w:rPr>
            </w:pPr>
          </w:p>
          <w:p w14:paraId="448EA471" w14:textId="50DFF39A" w:rsidR="00915A3B" w:rsidRPr="001B0984" w:rsidRDefault="00915A3B" w:rsidP="00EA3271">
            <w:pPr>
              <w:tabs>
                <w:tab w:val="left" w:pos="884"/>
                <w:tab w:val="left" w:pos="1196"/>
              </w:tabs>
              <w:spacing w:after="120" w:line="240" w:lineRule="auto"/>
              <w:jc w:val="both"/>
              <w:rPr>
                <w:rFonts w:ascii="Times New Roman" w:hAnsi="Times New Roman"/>
                <w:sz w:val="24"/>
                <w:szCs w:val="24"/>
                <w:lang w:val="ro-RO"/>
              </w:rPr>
            </w:pPr>
          </w:p>
        </w:tc>
      </w:tr>
    </w:tbl>
    <w:p w14:paraId="51FA5560" w14:textId="77777777" w:rsidR="008B3C66" w:rsidRPr="001B0984" w:rsidRDefault="008B3C66" w:rsidP="007609FD">
      <w:pPr>
        <w:spacing w:after="0" w:line="240" w:lineRule="auto"/>
        <w:rPr>
          <w:rFonts w:ascii="Times New Roman" w:hAnsi="Times New Roman"/>
          <w:b/>
          <w:sz w:val="24"/>
          <w:szCs w:val="24"/>
          <w:lang w:val="ro-RO"/>
        </w:rPr>
      </w:pPr>
    </w:p>
    <w:p w14:paraId="49806F0A" w14:textId="77777777" w:rsidR="00D64B1C" w:rsidRPr="001B0984" w:rsidRDefault="00D64B1C" w:rsidP="008821EA">
      <w:pPr>
        <w:spacing w:after="0" w:line="240" w:lineRule="auto"/>
        <w:ind w:firstLine="709"/>
        <w:rPr>
          <w:rFonts w:ascii="Times New Roman" w:hAnsi="Times New Roman"/>
          <w:sz w:val="24"/>
          <w:szCs w:val="24"/>
          <w:lang w:val="ro-RO"/>
        </w:rPr>
      </w:pPr>
    </w:p>
    <w:p w14:paraId="52564F20" w14:textId="579CD2D4" w:rsidR="00960525" w:rsidRPr="001B0984" w:rsidRDefault="00D662A1" w:rsidP="00960525">
      <w:pPr>
        <w:spacing w:after="0" w:line="240" w:lineRule="auto"/>
        <w:ind w:firstLine="709"/>
        <w:rPr>
          <w:rFonts w:ascii="Times New Roman" w:hAnsi="Times New Roman"/>
          <w:b/>
          <w:sz w:val="24"/>
          <w:szCs w:val="24"/>
          <w:lang w:val="ro-RO"/>
        </w:rPr>
      </w:pPr>
      <w:r w:rsidRPr="001B0984">
        <w:rPr>
          <w:rFonts w:ascii="Times New Roman" w:hAnsi="Times New Roman"/>
          <w:b/>
          <w:sz w:val="24"/>
          <w:szCs w:val="24"/>
          <w:lang w:val="ro-RO"/>
        </w:rPr>
        <w:t>Ministru</w:t>
      </w:r>
      <w:r w:rsidR="00C93BA7" w:rsidRPr="001B0984">
        <w:rPr>
          <w:rFonts w:ascii="Times New Roman" w:hAnsi="Times New Roman"/>
          <w:b/>
          <w:sz w:val="24"/>
          <w:szCs w:val="24"/>
          <w:lang w:val="ro-RO"/>
        </w:rPr>
        <w:t xml:space="preserve"> </w:t>
      </w:r>
      <w:r w:rsidR="00C93BA7" w:rsidRPr="001B0984">
        <w:rPr>
          <w:rFonts w:ascii="Times New Roman" w:hAnsi="Times New Roman"/>
          <w:b/>
          <w:sz w:val="24"/>
          <w:szCs w:val="24"/>
          <w:lang w:val="ro-RO"/>
        </w:rPr>
        <w:tab/>
      </w:r>
      <w:r w:rsidR="00C93BA7" w:rsidRPr="001B0984">
        <w:rPr>
          <w:rFonts w:ascii="Times New Roman" w:hAnsi="Times New Roman"/>
          <w:b/>
          <w:sz w:val="24"/>
          <w:szCs w:val="24"/>
          <w:lang w:val="ro-RO"/>
        </w:rPr>
        <w:tab/>
      </w:r>
      <w:r w:rsidR="00C93BA7" w:rsidRPr="001B0984">
        <w:rPr>
          <w:rFonts w:ascii="Times New Roman" w:hAnsi="Times New Roman"/>
          <w:b/>
          <w:sz w:val="24"/>
          <w:szCs w:val="24"/>
          <w:lang w:val="ro-RO"/>
        </w:rPr>
        <w:tab/>
      </w:r>
      <w:r w:rsidR="00C93BA7" w:rsidRPr="001B0984">
        <w:rPr>
          <w:rFonts w:ascii="Times New Roman" w:hAnsi="Times New Roman"/>
          <w:b/>
          <w:sz w:val="24"/>
          <w:szCs w:val="24"/>
          <w:lang w:val="ro-RO"/>
        </w:rPr>
        <w:tab/>
      </w:r>
      <w:r w:rsidR="00C93BA7" w:rsidRPr="001B0984">
        <w:rPr>
          <w:rFonts w:ascii="Times New Roman" w:hAnsi="Times New Roman"/>
          <w:b/>
          <w:sz w:val="24"/>
          <w:szCs w:val="24"/>
          <w:lang w:val="ro-RO"/>
        </w:rPr>
        <w:tab/>
      </w:r>
      <w:r w:rsidRPr="001B0984">
        <w:rPr>
          <w:rFonts w:ascii="Times New Roman" w:hAnsi="Times New Roman"/>
          <w:b/>
          <w:sz w:val="24"/>
          <w:szCs w:val="24"/>
          <w:lang w:val="ro-RO"/>
        </w:rPr>
        <w:tab/>
      </w:r>
      <w:r w:rsidR="00955B74">
        <w:rPr>
          <w:rFonts w:ascii="Times New Roman" w:hAnsi="Times New Roman"/>
          <w:b/>
          <w:sz w:val="24"/>
          <w:szCs w:val="24"/>
          <w:lang w:val="ro-RO"/>
        </w:rPr>
        <w:t>Victor PARLICOV</w:t>
      </w:r>
    </w:p>
    <w:p w14:paraId="0DBB41D5" w14:textId="77777777" w:rsidR="00921997" w:rsidRDefault="00921997" w:rsidP="00921997">
      <w:pPr>
        <w:spacing w:after="0" w:line="240" w:lineRule="auto"/>
        <w:ind w:firstLine="709"/>
        <w:rPr>
          <w:rFonts w:ascii="Times New Roman" w:hAnsi="Times New Roman"/>
          <w:b/>
          <w:sz w:val="24"/>
          <w:szCs w:val="24"/>
          <w:lang w:val="ro-RO"/>
        </w:rPr>
      </w:pPr>
    </w:p>
    <w:p w14:paraId="3AC44A63" w14:textId="54266414" w:rsidR="00C93BA7" w:rsidRPr="001B0984" w:rsidRDefault="00C93BA7" w:rsidP="00D662A1">
      <w:pPr>
        <w:spacing w:after="0" w:line="240" w:lineRule="auto"/>
        <w:rPr>
          <w:rFonts w:ascii="Times New Roman" w:hAnsi="Times New Roman"/>
          <w:b/>
          <w:sz w:val="24"/>
          <w:szCs w:val="24"/>
          <w:lang w:val="ro-RO"/>
        </w:rPr>
      </w:pPr>
    </w:p>
    <w:sectPr w:rsidR="00C93BA7" w:rsidRPr="001B098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A9F3" w14:textId="77777777" w:rsidR="00C21B56" w:rsidRDefault="00C21B56" w:rsidP="0069130A">
      <w:pPr>
        <w:spacing w:after="0" w:line="240" w:lineRule="auto"/>
      </w:pPr>
      <w:r>
        <w:separator/>
      </w:r>
    </w:p>
  </w:endnote>
  <w:endnote w:type="continuationSeparator" w:id="0">
    <w:p w14:paraId="2DEEC96B" w14:textId="77777777" w:rsidR="00C21B56" w:rsidRDefault="00C21B56" w:rsidP="0069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693225"/>
      <w:docPartObj>
        <w:docPartGallery w:val="Page Numbers (Bottom of Page)"/>
        <w:docPartUnique/>
      </w:docPartObj>
    </w:sdtPr>
    <w:sdtEndPr/>
    <w:sdtContent>
      <w:p w14:paraId="2EB874AC" w14:textId="058E8E72" w:rsidR="0069130A" w:rsidRDefault="0069130A">
        <w:pPr>
          <w:pStyle w:val="Footer"/>
          <w:jc w:val="right"/>
        </w:pPr>
        <w:r>
          <w:fldChar w:fldCharType="begin"/>
        </w:r>
        <w:r>
          <w:instrText>PAGE   \* MERGEFORMAT</w:instrText>
        </w:r>
        <w:r>
          <w:fldChar w:fldCharType="separate"/>
        </w:r>
        <w:r w:rsidR="00526E74">
          <w:rPr>
            <w:noProof/>
          </w:rPr>
          <w:t>1</w:t>
        </w:r>
        <w:r w:rsidR="00526E74">
          <w:rPr>
            <w:noProof/>
          </w:rPr>
          <w:t>5</w:t>
        </w:r>
        <w:r>
          <w:fldChar w:fldCharType="end"/>
        </w:r>
      </w:p>
    </w:sdtContent>
  </w:sdt>
  <w:p w14:paraId="41D6125E" w14:textId="77777777" w:rsidR="0069130A" w:rsidRDefault="0069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31FD" w14:textId="77777777" w:rsidR="00C21B56" w:rsidRDefault="00C21B56" w:rsidP="0069130A">
      <w:pPr>
        <w:spacing w:after="0" w:line="240" w:lineRule="auto"/>
      </w:pPr>
      <w:r>
        <w:separator/>
      </w:r>
    </w:p>
  </w:footnote>
  <w:footnote w:type="continuationSeparator" w:id="0">
    <w:p w14:paraId="3869E486" w14:textId="77777777" w:rsidR="00C21B56" w:rsidRDefault="00C21B56" w:rsidP="0069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19D"/>
    <w:multiLevelType w:val="hybridMultilevel"/>
    <w:tmpl w:val="72D4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D66"/>
    <w:multiLevelType w:val="hybridMultilevel"/>
    <w:tmpl w:val="54CEB6CA"/>
    <w:lvl w:ilvl="0" w:tplc="9EB4EBFA">
      <w:start w:val="1"/>
      <w:numFmt w:val="decimal"/>
      <w:lvlText w:val="(%1)"/>
      <w:lvlJc w:val="left"/>
      <w:pPr>
        <w:ind w:left="1080" w:hanging="360"/>
      </w:pPr>
      <w:rPr>
        <w:rFonts w:cs="Times New Roman" w:hint="default"/>
        <w:strike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70739BE"/>
    <w:multiLevelType w:val="hybridMultilevel"/>
    <w:tmpl w:val="E3EE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12B1E"/>
    <w:multiLevelType w:val="hybridMultilevel"/>
    <w:tmpl w:val="A6A6C47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F422C9E"/>
    <w:multiLevelType w:val="hybridMultilevel"/>
    <w:tmpl w:val="C548FE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2D1DB5"/>
    <w:multiLevelType w:val="hybridMultilevel"/>
    <w:tmpl w:val="FCB6992C"/>
    <w:lvl w:ilvl="0" w:tplc="0E1497C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405E2931"/>
    <w:multiLevelType w:val="hybridMultilevel"/>
    <w:tmpl w:val="D3748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A96181"/>
    <w:multiLevelType w:val="hybridMultilevel"/>
    <w:tmpl w:val="0284D51A"/>
    <w:lvl w:ilvl="0" w:tplc="E630545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4A4C39"/>
    <w:multiLevelType w:val="hybridMultilevel"/>
    <w:tmpl w:val="E8000FDE"/>
    <w:lvl w:ilvl="0" w:tplc="E7740B0C">
      <w:numFmt w:val="bullet"/>
      <w:lvlText w:val="-"/>
      <w:lvlJc w:val="left"/>
      <w:pPr>
        <w:ind w:left="720" w:hanging="360"/>
      </w:pPr>
      <w:rPr>
        <w:rFonts w:hint="default"/>
        <w:w w:val="104"/>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E3422B"/>
    <w:multiLevelType w:val="multilevel"/>
    <w:tmpl w:val="44E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F053C"/>
    <w:multiLevelType w:val="hybridMultilevel"/>
    <w:tmpl w:val="093CB49C"/>
    <w:lvl w:ilvl="0" w:tplc="E7740B0C">
      <w:numFmt w:val="bullet"/>
      <w:lvlText w:val="-"/>
      <w:lvlJc w:val="left"/>
      <w:pPr>
        <w:ind w:left="360" w:hanging="360"/>
      </w:pPr>
      <w:rPr>
        <w:rFonts w:hint="default"/>
        <w:w w:val="104"/>
        <w:lang w:val="en-US" w:eastAsia="en-US" w:bidi="en-U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5AA70C1"/>
    <w:multiLevelType w:val="hybridMultilevel"/>
    <w:tmpl w:val="DDA0DA64"/>
    <w:lvl w:ilvl="0" w:tplc="04090011">
      <w:start w:val="1"/>
      <w:numFmt w:val="decimal"/>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7E512B87"/>
    <w:multiLevelType w:val="hybridMultilevel"/>
    <w:tmpl w:val="44D85F7A"/>
    <w:lvl w:ilvl="0" w:tplc="1CF66A14">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994748195">
    <w:abstractNumId w:val="12"/>
  </w:num>
  <w:num w:numId="2" w16cid:durableId="778336514">
    <w:abstractNumId w:val="4"/>
  </w:num>
  <w:num w:numId="3" w16cid:durableId="1564678021">
    <w:abstractNumId w:val="13"/>
  </w:num>
  <w:num w:numId="4" w16cid:durableId="1816069422">
    <w:abstractNumId w:val="9"/>
  </w:num>
  <w:num w:numId="5" w16cid:durableId="2043047703">
    <w:abstractNumId w:val="1"/>
  </w:num>
  <w:num w:numId="6" w16cid:durableId="1318344826">
    <w:abstractNumId w:val="11"/>
  </w:num>
  <w:num w:numId="7" w16cid:durableId="108548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3993054">
    <w:abstractNumId w:val="5"/>
  </w:num>
  <w:num w:numId="9" w16cid:durableId="1999528168">
    <w:abstractNumId w:val="2"/>
  </w:num>
  <w:num w:numId="10" w16cid:durableId="1611743161">
    <w:abstractNumId w:val="10"/>
  </w:num>
  <w:num w:numId="11" w16cid:durableId="730886324">
    <w:abstractNumId w:val="6"/>
  </w:num>
  <w:num w:numId="12" w16cid:durableId="1555658264">
    <w:abstractNumId w:val="0"/>
  </w:num>
  <w:num w:numId="13" w16cid:durableId="940725187">
    <w:abstractNumId w:val="8"/>
  </w:num>
  <w:num w:numId="14" w16cid:durableId="957570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41"/>
    <w:rsid w:val="00016B76"/>
    <w:rsid w:val="00022737"/>
    <w:rsid w:val="00027F3A"/>
    <w:rsid w:val="00040B6D"/>
    <w:rsid w:val="000415E1"/>
    <w:rsid w:val="00041B4D"/>
    <w:rsid w:val="00052149"/>
    <w:rsid w:val="0005650F"/>
    <w:rsid w:val="00057CDA"/>
    <w:rsid w:val="000671EE"/>
    <w:rsid w:val="00070446"/>
    <w:rsid w:val="00070449"/>
    <w:rsid w:val="000742C0"/>
    <w:rsid w:val="00084B3D"/>
    <w:rsid w:val="000870DF"/>
    <w:rsid w:val="00092D47"/>
    <w:rsid w:val="00093D74"/>
    <w:rsid w:val="00096D45"/>
    <w:rsid w:val="0009788F"/>
    <w:rsid w:val="000A25CB"/>
    <w:rsid w:val="000A3657"/>
    <w:rsid w:val="000C36A5"/>
    <w:rsid w:val="000C5EB8"/>
    <w:rsid w:val="000D51CC"/>
    <w:rsid w:val="000E0FC9"/>
    <w:rsid w:val="000E4893"/>
    <w:rsid w:val="000E5A62"/>
    <w:rsid w:val="000F24D0"/>
    <w:rsid w:val="000F2926"/>
    <w:rsid w:val="00100D8C"/>
    <w:rsid w:val="00103604"/>
    <w:rsid w:val="00105328"/>
    <w:rsid w:val="001108C7"/>
    <w:rsid w:val="00112333"/>
    <w:rsid w:val="00114B0F"/>
    <w:rsid w:val="0013039C"/>
    <w:rsid w:val="001407B3"/>
    <w:rsid w:val="00141858"/>
    <w:rsid w:val="001425E6"/>
    <w:rsid w:val="00145AE0"/>
    <w:rsid w:val="00145B33"/>
    <w:rsid w:val="00146949"/>
    <w:rsid w:val="00161BC9"/>
    <w:rsid w:val="00167D31"/>
    <w:rsid w:val="0017601F"/>
    <w:rsid w:val="00176AF5"/>
    <w:rsid w:val="0019173E"/>
    <w:rsid w:val="001938ED"/>
    <w:rsid w:val="00193DD1"/>
    <w:rsid w:val="001974D3"/>
    <w:rsid w:val="001A033A"/>
    <w:rsid w:val="001B0870"/>
    <w:rsid w:val="001B0984"/>
    <w:rsid w:val="001B1D91"/>
    <w:rsid w:val="001B7165"/>
    <w:rsid w:val="001D020E"/>
    <w:rsid w:val="001D109E"/>
    <w:rsid w:val="001E2A30"/>
    <w:rsid w:val="001E41E3"/>
    <w:rsid w:val="001F0DBE"/>
    <w:rsid w:val="001F3009"/>
    <w:rsid w:val="001F5C94"/>
    <w:rsid w:val="00207998"/>
    <w:rsid w:val="00207B2D"/>
    <w:rsid w:val="00214E1E"/>
    <w:rsid w:val="00216B38"/>
    <w:rsid w:val="00216D87"/>
    <w:rsid w:val="00223100"/>
    <w:rsid w:val="002271D9"/>
    <w:rsid w:val="0022720F"/>
    <w:rsid w:val="002300C4"/>
    <w:rsid w:val="002327CD"/>
    <w:rsid w:val="00244906"/>
    <w:rsid w:val="00251BC2"/>
    <w:rsid w:val="002548D9"/>
    <w:rsid w:val="00263C21"/>
    <w:rsid w:val="002667BB"/>
    <w:rsid w:val="00270C3A"/>
    <w:rsid w:val="00272B58"/>
    <w:rsid w:val="00280099"/>
    <w:rsid w:val="002876E8"/>
    <w:rsid w:val="00292902"/>
    <w:rsid w:val="002940CA"/>
    <w:rsid w:val="002A504A"/>
    <w:rsid w:val="002B5574"/>
    <w:rsid w:val="002B7215"/>
    <w:rsid w:val="002B7D35"/>
    <w:rsid w:val="002C45A3"/>
    <w:rsid w:val="002C574F"/>
    <w:rsid w:val="002D2A2E"/>
    <w:rsid w:val="002D421F"/>
    <w:rsid w:val="002D592E"/>
    <w:rsid w:val="002E022D"/>
    <w:rsid w:val="002E782C"/>
    <w:rsid w:val="002F1969"/>
    <w:rsid w:val="002F46ED"/>
    <w:rsid w:val="00302015"/>
    <w:rsid w:val="00306788"/>
    <w:rsid w:val="003103FF"/>
    <w:rsid w:val="00310878"/>
    <w:rsid w:val="00312E8A"/>
    <w:rsid w:val="00317F86"/>
    <w:rsid w:val="00331C32"/>
    <w:rsid w:val="003407C5"/>
    <w:rsid w:val="00340E10"/>
    <w:rsid w:val="00350FD1"/>
    <w:rsid w:val="00356DEA"/>
    <w:rsid w:val="00357691"/>
    <w:rsid w:val="00362425"/>
    <w:rsid w:val="003627A1"/>
    <w:rsid w:val="00363463"/>
    <w:rsid w:val="00370B4F"/>
    <w:rsid w:val="003761E9"/>
    <w:rsid w:val="00381057"/>
    <w:rsid w:val="003944B3"/>
    <w:rsid w:val="00395221"/>
    <w:rsid w:val="00396510"/>
    <w:rsid w:val="003A0995"/>
    <w:rsid w:val="003B19B0"/>
    <w:rsid w:val="003B1A61"/>
    <w:rsid w:val="003B21AF"/>
    <w:rsid w:val="003C060A"/>
    <w:rsid w:val="003C2AAA"/>
    <w:rsid w:val="003D5AB0"/>
    <w:rsid w:val="003D71F0"/>
    <w:rsid w:val="003D7777"/>
    <w:rsid w:val="003E2085"/>
    <w:rsid w:val="003E71BD"/>
    <w:rsid w:val="003F38CC"/>
    <w:rsid w:val="00403D69"/>
    <w:rsid w:val="00407347"/>
    <w:rsid w:val="00420415"/>
    <w:rsid w:val="00425385"/>
    <w:rsid w:val="004305B2"/>
    <w:rsid w:val="00434D02"/>
    <w:rsid w:val="004417CE"/>
    <w:rsid w:val="00442365"/>
    <w:rsid w:val="00443ED3"/>
    <w:rsid w:val="00450329"/>
    <w:rsid w:val="00451745"/>
    <w:rsid w:val="004646BC"/>
    <w:rsid w:val="00472031"/>
    <w:rsid w:val="004732AA"/>
    <w:rsid w:val="00490792"/>
    <w:rsid w:val="004910F8"/>
    <w:rsid w:val="00493081"/>
    <w:rsid w:val="0049700A"/>
    <w:rsid w:val="004A6D8F"/>
    <w:rsid w:val="004B6F5A"/>
    <w:rsid w:val="004C0A97"/>
    <w:rsid w:val="004C3589"/>
    <w:rsid w:val="004C388C"/>
    <w:rsid w:val="004C3C9C"/>
    <w:rsid w:val="004C6754"/>
    <w:rsid w:val="004D3B90"/>
    <w:rsid w:val="004D7A18"/>
    <w:rsid w:val="004E01CF"/>
    <w:rsid w:val="004E2F92"/>
    <w:rsid w:val="004E44CE"/>
    <w:rsid w:val="004E5B64"/>
    <w:rsid w:val="004F3D7E"/>
    <w:rsid w:val="0050185B"/>
    <w:rsid w:val="005025C3"/>
    <w:rsid w:val="00511C40"/>
    <w:rsid w:val="00512257"/>
    <w:rsid w:val="00513786"/>
    <w:rsid w:val="00523127"/>
    <w:rsid w:val="005234D7"/>
    <w:rsid w:val="005251EE"/>
    <w:rsid w:val="00526E74"/>
    <w:rsid w:val="00527B5F"/>
    <w:rsid w:val="0053034E"/>
    <w:rsid w:val="00533468"/>
    <w:rsid w:val="005359E1"/>
    <w:rsid w:val="00537B33"/>
    <w:rsid w:val="00550A4C"/>
    <w:rsid w:val="00557102"/>
    <w:rsid w:val="0055797C"/>
    <w:rsid w:val="00580A46"/>
    <w:rsid w:val="00596537"/>
    <w:rsid w:val="005A1A91"/>
    <w:rsid w:val="005A2DD5"/>
    <w:rsid w:val="005A714F"/>
    <w:rsid w:val="005B029C"/>
    <w:rsid w:val="005B3AC1"/>
    <w:rsid w:val="005B4EF7"/>
    <w:rsid w:val="005B7EC6"/>
    <w:rsid w:val="005C2823"/>
    <w:rsid w:val="005C305E"/>
    <w:rsid w:val="005C723A"/>
    <w:rsid w:val="005D40C8"/>
    <w:rsid w:val="005E5480"/>
    <w:rsid w:val="005E76D4"/>
    <w:rsid w:val="005F0120"/>
    <w:rsid w:val="006035B7"/>
    <w:rsid w:val="00603D63"/>
    <w:rsid w:val="00604B07"/>
    <w:rsid w:val="006146F7"/>
    <w:rsid w:val="00615548"/>
    <w:rsid w:val="00617029"/>
    <w:rsid w:val="00617579"/>
    <w:rsid w:val="006227EF"/>
    <w:rsid w:val="00625685"/>
    <w:rsid w:val="00630863"/>
    <w:rsid w:val="00631EB1"/>
    <w:rsid w:val="00640C45"/>
    <w:rsid w:val="006421CA"/>
    <w:rsid w:val="00645912"/>
    <w:rsid w:val="006570EA"/>
    <w:rsid w:val="00670A1F"/>
    <w:rsid w:val="00674217"/>
    <w:rsid w:val="00674887"/>
    <w:rsid w:val="00674CE8"/>
    <w:rsid w:val="0067795A"/>
    <w:rsid w:val="00682055"/>
    <w:rsid w:val="006822F2"/>
    <w:rsid w:val="00685884"/>
    <w:rsid w:val="0069130A"/>
    <w:rsid w:val="00693CAF"/>
    <w:rsid w:val="00695567"/>
    <w:rsid w:val="00697D1B"/>
    <w:rsid w:val="006A46F8"/>
    <w:rsid w:val="006B1E84"/>
    <w:rsid w:val="006B3169"/>
    <w:rsid w:val="006B321C"/>
    <w:rsid w:val="006B55EC"/>
    <w:rsid w:val="006C0911"/>
    <w:rsid w:val="006C372B"/>
    <w:rsid w:val="006D0B0F"/>
    <w:rsid w:val="006E458A"/>
    <w:rsid w:val="006E5FC4"/>
    <w:rsid w:val="006E7815"/>
    <w:rsid w:val="006F4C2D"/>
    <w:rsid w:val="00700F95"/>
    <w:rsid w:val="007270A8"/>
    <w:rsid w:val="00730A20"/>
    <w:rsid w:val="00731B6A"/>
    <w:rsid w:val="00747467"/>
    <w:rsid w:val="007540AF"/>
    <w:rsid w:val="00756A93"/>
    <w:rsid w:val="007609FD"/>
    <w:rsid w:val="00771240"/>
    <w:rsid w:val="00773F55"/>
    <w:rsid w:val="00774692"/>
    <w:rsid w:val="00791F88"/>
    <w:rsid w:val="007920D8"/>
    <w:rsid w:val="00794CA2"/>
    <w:rsid w:val="00795E3E"/>
    <w:rsid w:val="007B2A01"/>
    <w:rsid w:val="007B447B"/>
    <w:rsid w:val="007B4C4D"/>
    <w:rsid w:val="007B73D0"/>
    <w:rsid w:val="007C1A79"/>
    <w:rsid w:val="007D6D2A"/>
    <w:rsid w:val="007E374C"/>
    <w:rsid w:val="007F1D16"/>
    <w:rsid w:val="007F29B2"/>
    <w:rsid w:val="007F6031"/>
    <w:rsid w:val="0080245E"/>
    <w:rsid w:val="008034BA"/>
    <w:rsid w:val="00807527"/>
    <w:rsid w:val="008128F4"/>
    <w:rsid w:val="0081469C"/>
    <w:rsid w:val="008314BB"/>
    <w:rsid w:val="00835430"/>
    <w:rsid w:val="008445BE"/>
    <w:rsid w:val="00844FDB"/>
    <w:rsid w:val="00853DB0"/>
    <w:rsid w:val="008540F4"/>
    <w:rsid w:val="00856F72"/>
    <w:rsid w:val="00861773"/>
    <w:rsid w:val="00865CC6"/>
    <w:rsid w:val="008821EA"/>
    <w:rsid w:val="00890E17"/>
    <w:rsid w:val="00893608"/>
    <w:rsid w:val="008A0434"/>
    <w:rsid w:val="008B06EC"/>
    <w:rsid w:val="008B3C66"/>
    <w:rsid w:val="008B51C7"/>
    <w:rsid w:val="008C1439"/>
    <w:rsid w:val="008C47A4"/>
    <w:rsid w:val="008D2285"/>
    <w:rsid w:val="008D5D7C"/>
    <w:rsid w:val="008D68A7"/>
    <w:rsid w:val="008F60A2"/>
    <w:rsid w:val="00901E32"/>
    <w:rsid w:val="00902483"/>
    <w:rsid w:val="0090378B"/>
    <w:rsid w:val="0091032E"/>
    <w:rsid w:val="00915A3B"/>
    <w:rsid w:val="00916CD0"/>
    <w:rsid w:val="00921997"/>
    <w:rsid w:val="009245DC"/>
    <w:rsid w:val="00930E23"/>
    <w:rsid w:val="0093111F"/>
    <w:rsid w:val="00936D04"/>
    <w:rsid w:val="00936E1D"/>
    <w:rsid w:val="00937E90"/>
    <w:rsid w:val="00943CF4"/>
    <w:rsid w:val="0094574D"/>
    <w:rsid w:val="009506D0"/>
    <w:rsid w:val="0095361A"/>
    <w:rsid w:val="00955B74"/>
    <w:rsid w:val="00960525"/>
    <w:rsid w:val="00963EBE"/>
    <w:rsid w:val="00965D5B"/>
    <w:rsid w:val="00995314"/>
    <w:rsid w:val="00997673"/>
    <w:rsid w:val="009B03AA"/>
    <w:rsid w:val="009B5121"/>
    <w:rsid w:val="009C3292"/>
    <w:rsid w:val="009C5409"/>
    <w:rsid w:val="009C6418"/>
    <w:rsid w:val="009C6A49"/>
    <w:rsid w:val="009D69A8"/>
    <w:rsid w:val="009E367F"/>
    <w:rsid w:val="009E7044"/>
    <w:rsid w:val="009F5B14"/>
    <w:rsid w:val="00A02F37"/>
    <w:rsid w:val="00A044CE"/>
    <w:rsid w:val="00A04922"/>
    <w:rsid w:val="00A04CE9"/>
    <w:rsid w:val="00A1414A"/>
    <w:rsid w:val="00A22CC9"/>
    <w:rsid w:val="00A31458"/>
    <w:rsid w:val="00A34A36"/>
    <w:rsid w:val="00A47C24"/>
    <w:rsid w:val="00A53B3D"/>
    <w:rsid w:val="00A56ABF"/>
    <w:rsid w:val="00A60B1B"/>
    <w:rsid w:val="00A60FB3"/>
    <w:rsid w:val="00A65705"/>
    <w:rsid w:val="00A66891"/>
    <w:rsid w:val="00A715D6"/>
    <w:rsid w:val="00A723BA"/>
    <w:rsid w:val="00A77C97"/>
    <w:rsid w:val="00A80257"/>
    <w:rsid w:val="00A80D95"/>
    <w:rsid w:val="00A85F48"/>
    <w:rsid w:val="00A87535"/>
    <w:rsid w:val="00A90563"/>
    <w:rsid w:val="00A954BC"/>
    <w:rsid w:val="00A979EF"/>
    <w:rsid w:val="00AA4445"/>
    <w:rsid w:val="00AA6547"/>
    <w:rsid w:val="00AB6B7F"/>
    <w:rsid w:val="00AC0082"/>
    <w:rsid w:val="00AC1FA2"/>
    <w:rsid w:val="00AE0FA6"/>
    <w:rsid w:val="00AE1E97"/>
    <w:rsid w:val="00AE218D"/>
    <w:rsid w:val="00AE288C"/>
    <w:rsid w:val="00AE4F7C"/>
    <w:rsid w:val="00AE72D3"/>
    <w:rsid w:val="00AF13C0"/>
    <w:rsid w:val="00AF4867"/>
    <w:rsid w:val="00B010CB"/>
    <w:rsid w:val="00B01241"/>
    <w:rsid w:val="00B05B2A"/>
    <w:rsid w:val="00B0798E"/>
    <w:rsid w:val="00B07C9A"/>
    <w:rsid w:val="00B11CFB"/>
    <w:rsid w:val="00B21BE8"/>
    <w:rsid w:val="00B273E3"/>
    <w:rsid w:val="00B33DE7"/>
    <w:rsid w:val="00B33E26"/>
    <w:rsid w:val="00B41486"/>
    <w:rsid w:val="00B43062"/>
    <w:rsid w:val="00B5239F"/>
    <w:rsid w:val="00B529AE"/>
    <w:rsid w:val="00B572D5"/>
    <w:rsid w:val="00B60947"/>
    <w:rsid w:val="00B64E7F"/>
    <w:rsid w:val="00B7106C"/>
    <w:rsid w:val="00B71D9E"/>
    <w:rsid w:val="00B74160"/>
    <w:rsid w:val="00B839BC"/>
    <w:rsid w:val="00B912BE"/>
    <w:rsid w:val="00BA4BB3"/>
    <w:rsid w:val="00BB0507"/>
    <w:rsid w:val="00BB22DD"/>
    <w:rsid w:val="00BC5E19"/>
    <w:rsid w:val="00BD208F"/>
    <w:rsid w:val="00BD5571"/>
    <w:rsid w:val="00BD662A"/>
    <w:rsid w:val="00BD79A5"/>
    <w:rsid w:val="00BE17B5"/>
    <w:rsid w:val="00BE19FF"/>
    <w:rsid w:val="00BE25A3"/>
    <w:rsid w:val="00BF24F7"/>
    <w:rsid w:val="00BF43A5"/>
    <w:rsid w:val="00BF4C4C"/>
    <w:rsid w:val="00BF7D77"/>
    <w:rsid w:val="00C00AA8"/>
    <w:rsid w:val="00C02F80"/>
    <w:rsid w:val="00C1503C"/>
    <w:rsid w:val="00C15B71"/>
    <w:rsid w:val="00C21B56"/>
    <w:rsid w:val="00C21F66"/>
    <w:rsid w:val="00C2397C"/>
    <w:rsid w:val="00C27EC0"/>
    <w:rsid w:val="00C31B8E"/>
    <w:rsid w:val="00C34F3D"/>
    <w:rsid w:val="00C377CA"/>
    <w:rsid w:val="00C3781A"/>
    <w:rsid w:val="00C4639A"/>
    <w:rsid w:val="00C5057F"/>
    <w:rsid w:val="00C62808"/>
    <w:rsid w:val="00C74399"/>
    <w:rsid w:val="00C83ECF"/>
    <w:rsid w:val="00C9115E"/>
    <w:rsid w:val="00C917C1"/>
    <w:rsid w:val="00C92310"/>
    <w:rsid w:val="00C93BA7"/>
    <w:rsid w:val="00C9418F"/>
    <w:rsid w:val="00CA74F8"/>
    <w:rsid w:val="00CC1103"/>
    <w:rsid w:val="00CE0F7D"/>
    <w:rsid w:val="00CE248E"/>
    <w:rsid w:val="00CE2613"/>
    <w:rsid w:val="00CE64AF"/>
    <w:rsid w:val="00CE69D8"/>
    <w:rsid w:val="00CF227E"/>
    <w:rsid w:val="00CF2F71"/>
    <w:rsid w:val="00CF63B8"/>
    <w:rsid w:val="00D05F7A"/>
    <w:rsid w:val="00D0679A"/>
    <w:rsid w:val="00D07E65"/>
    <w:rsid w:val="00D120F5"/>
    <w:rsid w:val="00D14E46"/>
    <w:rsid w:val="00D15802"/>
    <w:rsid w:val="00D17D44"/>
    <w:rsid w:val="00D21142"/>
    <w:rsid w:val="00D21977"/>
    <w:rsid w:val="00D232B9"/>
    <w:rsid w:val="00D23CDB"/>
    <w:rsid w:val="00D3130F"/>
    <w:rsid w:val="00D43C93"/>
    <w:rsid w:val="00D52EA0"/>
    <w:rsid w:val="00D55790"/>
    <w:rsid w:val="00D56497"/>
    <w:rsid w:val="00D622D9"/>
    <w:rsid w:val="00D64B1C"/>
    <w:rsid w:val="00D662A1"/>
    <w:rsid w:val="00D72589"/>
    <w:rsid w:val="00D73B0B"/>
    <w:rsid w:val="00D742DE"/>
    <w:rsid w:val="00D854E8"/>
    <w:rsid w:val="00D859F4"/>
    <w:rsid w:val="00D85F71"/>
    <w:rsid w:val="00D87B03"/>
    <w:rsid w:val="00D90C58"/>
    <w:rsid w:val="00DA651E"/>
    <w:rsid w:val="00DA699D"/>
    <w:rsid w:val="00DB3871"/>
    <w:rsid w:val="00DB3A79"/>
    <w:rsid w:val="00DB5A8A"/>
    <w:rsid w:val="00DB630A"/>
    <w:rsid w:val="00DC11BA"/>
    <w:rsid w:val="00DC13AA"/>
    <w:rsid w:val="00DC57F1"/>
    <w:rsid w:val="00DC78D0"/>
    <w:rsid w:val="00DE014A"/>
    <w:rsid w:val="00DE5871"/>
    <w:rsid w:val="00E05308"/>
    <w:rsid w:val="00E06F0C"/>
    <w:rsid w:val="00E21C88"/>
    <w:rsid w:val="00E3541B"/>
    <w:rsid w:val="00E371E1"/>
    <w:rsid w:val="00E40299"/>
    <w:rsid w:val="00E45115"/>
    <w:rsid w:val="00E80A7A"/>
    <w:rsid w:val="00E82CA2"/>
    <w:rsid w:val="00E863A3"/>
    <w:rsid w:val="00E87C42"/>
    <w:rsid w:val="00E911A4"/>
    <w:rsid w:val="00E9400F"/>
    <w:rsid w:val="00EA3271"/>
    <w:rsid w:val="00EA6F9F"/>
    <w:rsid w:val="00EB010D"/>
    <w:rsid w:val="00EB4276"/>
    <w:rsid w:val="00EB561E"/>
    <w:rsid w:val="00EC1BBC"/>
    <w:rsid w:val="00EC31D7"/>
    <w:rsid w:val="00ED2086"/>
    <w:rsid w:val="00ED29FF"/>
    <w:rsid w:val="00ED3567"/>
    <w:rsid w:val="00ED4582"/>
    <w:rsid w:val="00ED59CF"/>
    <w:rsid w:val="00ED5E1E"/>
    <w:rsid w:val="00EE6644"/>
    <w:rsid w:val="00EF511C"/>
    <w:rsid w:val="00EF7E56"/>
    <w:rsid w:val="00F005A9"/>
    <w:rsid w:val="00F02CAD"/>
    <w:rsid w:val="00F10628"/>
    <w:rsid w:val="00F111D4"/>
    <w:rsid w:val="00F15A4C"/>
    <w:rsid w:val="00F20C3A"/>
    <w:rsid w:val="00F32BB5"/>
    <w:rsid w:val="00F33341"/>
    <w:rsid w:val="00F346DA"/>
    <w:rsid w:val="00F373CD"/>
    <w:rsid w:val="00F40930"/>
    <w:rsid w:val="00F41BF8"/>
    <w:rsid w:val="00F43107"/>
    <w:rsid w:val="00F43B96"/>
    <w:rsid w:val="00F45BBC"/>
    <w:rsid w:val="00F513FA"/>
    <w:rsid w:val="00F530F8"/>
    <w:rsid w:val="00F575D4"/>
    <w:rsid w:val="00F60CA0"/>
    <w:rsid w:val="00F60F60"/>
    <w:rsid w:val="00F75F06"/>
    <w:rsid w:val="00F7643E"/>
    <w:rsid w:val="00F77038"/>
    <w:rsid w:val="00F815A5"/>
    <w:rsid w:val="00F83B4D"/>
    <w:rsid w:val="00F865AE"/>
    <w:rsid w:val="00F925FC"/>
    <w:rsid w:val="00F93E0B"/>
    <w:rsid w:val="00F9481B"/>
    <w:rsid w:val="00FA1AB7"/>
    <w:rsid w:val="00FA1B54"/>
    <w:rsid w:val="00FA1E5C"/>
    <w:rsid w:val="00FA2B3B"/>
    <w:rsid w:val="00FB1A6C"/>
    <w:rsid w:val="00FB1C64"/>
    <w:rsid w:val="00FB2FA1"/>
    <w:rsid w:val="00FC021A"/>
    <w:rsid w:val="00FC7F15"/>
    <w:rsid w:val="00FD0AA9"/>
    <w:rsid w:val="00FD5EDB"/>
    <w:rsid w:val="00FD7B82"/>
    <w:rsid w:val="00FE67BF"/>
    <w:rsid w:val="00FF239D"/>
    <w:rsid w:val="00FF33B8"/>
    <w:rsid w:val="00FF3935"/>
    <w:rsid w:val="00FF46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6AC3E"/>
  <w15:docId w15:val="{9702222F-72C4-432F-8236-EE81118F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85"/>
    <w:rPr>
      <w:rFonts w:ascii="Calibri" w:eastAsia="Calibri" w:hAnsi="Calibri" w:cs="Times New Roman"/>
      <w:lang w:eastAsia="ru-RU"/>
    </w:rPr>
  </w:style>
  <w:style w:type="paragraph" w:styleId="Heading1">
    <w:name w:val="heading 1"/>
    <w:basedOn w:val="Normal"/>
    <w:next w:val="Normal"/>
    <w:link w:val="Heading1Char"/>
    <w:uiPriority w:val="9"/>
    <w:qFormat/>
    <w:rsid w:val="00C1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6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571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71"/>
    <w:rPr>
      <w:rFonts w:asciiTheme="majorHAnsi" w:eastAsiaTheme="majorEastAsia" w:hAnsiTheme="majorHAnsi" w:cstheme="majorBidi"/>
      <w:b/>
      <w:bCs/>
      <w:color w:val="365F91" w:themeColor="accent1" w:themeShade="BF"/>
      <w:sz w:val="28"/>
      <w:szCs w:val="28"/>
    </w:rPr>
  </w:style>
  <w:style w:type="paragraph" w:styleId="NoSpacing">
    <w:name w:val="No Spacing"/>
    <w:uiPriority w:val="99"/>
    <w:qFormat/>
    <w:rsid w:val="00C15B71"/>
    <w:pPr>
      <w:spacing w:after="0" w:line="240" w:lineRule="auto"/>
    </w:pPr>
  </w:style>
  <w:style w:type="paragraph" w:styleId="ListParagraph">
    <w:name w:val="List Paragraph"/>
    <w:aliases w:val="List Paragraph 1,Bullets,List Paragraph (numbered (a)),Scriptoria bullet points,HotarirePunct1,Bullet,Заголовок 3 глава,Akapit z listą BS,Outlines a.b.c.,List_Paragraph,Multilevel para_II,Akapit z lista BS,List Paragraph1,Primus H 3,Ha"/>
    <w:basedOn w:val="Normal"/>
    <w:link w:val="ListParagraphChar1"/>
    <w:uiPriority w:val="99"/>
    <w:qFormat/>
    <w:rsid w:val="00C15B71"/>
    <w:pPr>
      <w:ind w:left="720"/>
      <w:contextualSpacing/>
    </w:pPr>
  </w:style>
  <w:style w:type="character" w:styleId="Hyperlink">
    <w:name w:val="Hyperlink"/>
    <w:basedOn w:val="DefaultParagraphFont"/>
    <w:uiPriority w:val="99"/>
    <w:unhideWhenUsed/>
    <w:rsid w:val="00022737"/>
    <w:rPr>
      <w:color w:val="0000FF"/>
      <w:u w:val="single"/>
    </w:rPr>
  </w:style>
  <w:style w:type="paragraph" w:styleId="NormalWeb">
    <w:name w:val="Normal (Web)"/>
    <w:aliases w:val="Знак, Знак,webb,webb Знак Знак, Знак Знак,Знак Знак Знак Знак,Знак Знак1,webb Знак Знак Знак Char Char,Знак Знак Знак,Normal (Web) Знак,Normal (Web) Знак Знак Знак,Footnote Text Char1,Footnote Text Char2 Char"/>
    <w:basedOn w:val="Normal"/>
    <w:link w:val="NormalWebChar"/>
    <w:uiPriority w:val="99"/>
    <w:unhideWhenUsed/>
    <w:qFormat/>
    <w:rsid w:val="0081469C"/>
    <w:pPr>
      <w:spacing w:before="100" w:beforeAutospacing="1" w:after="100" w:afterAutospacing="1" w:line="240" w:lineRule="auto"/>
    </w:pPr>
    <w:rPr>
      <w:rFonts w:ascii="Times" w:eastAsiaTheme="minorHAnsi" w:hAnsi="Times"/>
      <w:sz w:val="20"/>
      <w:szCs w:val="20"/>
      <w:lang w:eastAsia="en-US"/>
    </w:rPr>
  </w:style>
  <w:style w:type="character" w:styleId="FollowedHyperlink">
    <w:name w:val="FollowedHyperlink"/>
    <w:basedOn w:val="DefaultParagraphFont"/>
    <w:uiPriority w:val="99"/>
    <w:semiHidden/>
    <w:unhideWhenUsed/>
    <w:rsid w:val="00E911A4"/>
    <w:rPr>
      <w:color w:val="800080" w:themeColor="followedHyperlink"/>
      <w:u w:val="single"/>
    </w:rPr>
  </w:style>
  <w:style w:type="character" w:customStyle="1" w:styleId="Heading2Char">
    <w:name w:val="Heading 2 Char"/>
    <w:basedOn w:val="DefaultParagraphFont"/>
    <w:link w:val="Heading2"/>
    <w:uiPriority w:val="9"/>
    <w:rsid w:val="00A56ABF"/>
    <w:rPr>
      <w:rFonts w:asciiTheme="majorHAnsi" w:eastAsiaTheme="majorEastAsia" w:hAnsiTheme="majorHAnsi" w:cstheme="majorBidi"/>
      <w:b/>
      <w:bCs/>
      <w:color w:val="4F81BD" w:themeColor="accent1"/>
      <w:sz w:val="26"/>
      <w:szCs w:val="26"/>
      <w:lang w:eastAsia="ru-RU"/>
    </w:rPr>
  </w:style>
  <w:style w:type="character" w:styleId="CommentReference">
    <w:name w:val="annotation reference"/>
    <w:basedOn w:val="DefaultParagraphFont"/>
    <w:uiPriority w:val="99"/>
    <w:semiHidden/>
    <w:unhideWhenUsed/>
    <w:rsid w:val="00FB2FA1"/>
    <w:rPr>
      <w:sz w:val="16"/>
      <w:szCs w:val="16"/>
    </w:rPr>
  </w:style>
  <w:style w:type="paragraph" w:styleId="CommentText">
    <w:name w:val="annotation text"/>
    <w:basedOn w:val="Normal"/>
    <w:link w:val="CommentTextChar"/>
    <w:uiPriority w:val="99"/>
    <w:unhideWhenUsed/>
    <w:rsid w:val="00FB2FA1"/>
    <w:pPr>
      <w:spacing w:line="240" w:lineRule="auto"/>
    </w:pPr>
    <w:rPr>
      <w:sz w:val="20"/>
      <w:szCs w:val="20"/>
    </w:rPr>
  </w:style>
  <w:style w:type="character" w:customStyle="1" w:styleId="CommentTextChar">
    <w:name w:val="Comment Text Char"/>
    <w:basedOn w:val="DefaultParagraphFont"/>
    <w:link w:val="CommentText"/>
    <w:uiPriority w:val="99"/>
    <w:rsid w:val="00FB2FA1"/>
    <w:rPr>
      <w:rFonts w:ascii="Calibri" w:eastAsia="Calibri" w:hAnsi="Calibri"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B2FA1"/>
    <w:rPr>
      <w:b/>
      <w:bCs/>
    </w:rPr>
  </w:style>
  <w:style w:type="character" w:customStyle="1" w:styleId="CommentSubjectChar">
    <w:name w:val="Comment Subject Char"/>
    <w:basedOn w:val="CommentTextChar"/>
    <w:link w:val="CommentSubject"/>
    <w:uiPriority w:val="99"/>
    <w:semiHidden/>
    <w:rsid w:val="00FB2FA1"/>
    <w:rPr>
      <w:rFonts w:ascii="Calibri" w:eastAsia="Calibri" w:hAnsi="Calibri" w:cs="Times New Roman"/>
      <w:b/>
      <w:bCs/>
      <w:sz w:val="20"/>
      <w:szCs w:val="20"/>
      <w:lang w:eastAsia="ru-RU"/>
    </w:rPr>
  </w:style>
  <w:style w:type="paragraph" w:styleId="BalloonText">
    <w:name w:val="Balloon Text"/>
    <w:basedOn w:val="Normal"/>
    <w:link w:val="BalloonTextChar"/>
    <w:uiPriority w:val="99"/>
    <w:semiHidden/>
    <w:unhideWhenUsed/>
    <w:rsid w:val="00FB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FA1"/>
    <w:rPr>
      <w:rFonts w:ascii="Tahoma" w:eastAsia="Calibri" w:hAnsi="Tahoma" w:cs="Tahoma"/>
      <w:sz w:val="16"/>
      <w:szCs w:val="16"/>
      <w:lang w:eastAsia="ru-RU"/>
    </w:rPr>
  </w:style>
  <w:style w:type="character" w:customStyle="1" w:styleId="docheader">
    <w:name w:val="doc_header"/>
    <w:rsid w:val="00251BC2"/>
  </w:style>
  <w:style w:type="character" w:customStyle="1" w:styleId="FontStyle158">
    <w:name w:val="Font Style158"/>
    <w:uiPriority w:val="99"/>
    <w:rsid w:val="00443ED3"/>
    <w:rPr>
      <w:rFonts w:ascii="Times New Roman" w:hAnsi="Times New Roman" w:cs="Times New Roman"/>
      <w:b/>
      <w:bCs/>
      <w:sz w:val="26"/>
      <w:szCs w:val="26"/>
    </w:rPr>
  </w:style>
  <w:style w:type="character" w:customStyle="1" w:styleId="NormalWebChar">
    <w:name w:val="Normal (Web) Char"/>
    <w:aliases w:val="Знак Char, Знак Char,webb Char,webb Знак Знак Char, Знак Знак Char,Знак Знак Знак Знак Char,Знак Знак1 Char,webb Знак Знак Знак Char Char Char,Знак Знак Знак Char,Normal (Web) Знак Char,Normal (Web) Знак Знак Знак Char"/>
    <w:link w:val="NormalWeb"/>
    <w:uiPriority w:val="99"/>
    <w:locked/>
    <w:rsid w:val="002A504A"/>
    <w:rPr>
      <w:rFonts w:ascii="Times" w:hAnsi="Times" w:cs="Times New Roman"/>
      <w:sz w:val="20"/>
      <w:szCs w:val="20"/>
    </w:rPr>
  </w:style>
  <w:style w:type="character" w:customStyle="1" w:styleId="bold">
    <w:name w:val="bold"/>
    <w:basedOn w:val="DefaultParagraphFont"/>
    <w:rsid w:val="00BD79A5"/>
    <w:rPr>
      <w:rFonts w:cs="Times New Roman"/>
    </w:rPr>
  </w:style>
  <w:style w:type="paragraph" w:customStyle="1" w:styleId="ti-grseq-1">
    <w:name w:val="ti-grseq-1"/>
    <w:basedOn w:val="Normal"/>
    <w:rsid w:val="00BD79A5"/>
    <w:pPr>
      <w:spacing w:before="100" w:beforeAutospacing="1" w:after="100" w:afterAutospacing="1" w:line="240" w:lineRule="auto"/>
    </w:pPr>
    <w:rPr>
      <w:rFonts w:ascii="Times New Roman" w:eastAsia="Times New Roman" w:hAnsi="Times New Roman"/>
      <w:sz w:val="24"/>
      <w:szCs w:val="24"/>
    </w:rPr>
  </w:style>
  <w:style w:type="paragraph" w:customStyle="1" w:styleId="1">
    <w:name w:val="Абзац списка1"/>
    <w:basedOn w:val="Normal"/>
    <w:link w:val="ListParagraphChar"/>
    <w:rsid w:val="00C92310"/>
    <w:pPr>
      <w:spacing w:after="0" w:line="240" w:lineRule="auto"/>
      <w:ind w:left="720"/>
      <w:contextualSpacing/>
    </w:pPr>
    <w:rPr>
      <w:rFonts w:ascii="Cambria" w:eastAsia="Times New Roman" w:hAnsi="Cambria"/>
      <w:sz w:val="24"/>
      <w:szCs w:val="24"/>
      <w:lang w:val="ro-RO" w:eastAsia="en-US"/>
    </w:rPr>
  </w:style>
  <w:style w:type="character" w:customStyle="1" w:styleId="ListParagraphChar">
    <w:name w:val="List Paragraph Char"/>
    <w:basedOn w:val="DefaultParagraphFont"/>
    <w:link w:val="1"/>
    <w:locked/>
    <w:rsid w:val="00C92310"/>
    <w:rPr>
      <w:rFonts w:ascii="Cambria" w:eastAsia="Times New Roman" w:hAnsi="Cambria" w:cs="Times New Roman"/>
      <w:sz w:val="24"/>
      <w:szCs w:val="24"/>
      <w:lang w:val="ro-RO"/>
    </w:rPr>
  </w:style>
  <w:style w:type="paragraph" w:customStyle="1" w:styleId="Default">
    <w:name w:val="Default"/>
    <w:rsid w:val="00041B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uiPriority w:val="99"/>
    <w:rsid w:val="00EB4276"/>
    <w:rPr>
      <w:rFonts w:cs="Times New Roman"/>
    </w:rPr>
  </w:style>
  <w:style w:type="paragraph" w:customStyle="1" w:styleId="Style1">
    <w:name w:val="Style1"/>
    <w:basedOn w:val="Normal"/>
    <w:uiPriority w:val="99"/>
    <w:rsid w:val="00EB4276"/>
    <w:pPr>
      <w:widowControl w:val="0"/>
      <w:autoSpaceDE w:val="0"/>
      <w:autoSpaceDN w:val="0"/>
      <w:adjustRightInd w:val="0"/>
      <w:spacing w:after="0" w:line="293" w:lineRule="exact"/>
      <w:ind w:firstLine="450"/>
      <w:jc w:val="both"/>
    </w:pPr>
    <w:rPr>
      <w:rFonts w:ascii="Times New Roman" w:eastAsia="Times New Roman" w:hAnsi="Times New Roman"/>
      <w:sz w:val="24"/>
      <w:szCs w:val="24"/>
    </w:rPr>
  </w:style>
  <w:style w:type="character" w:customStyle="1" w:styleId="FontStyle12">
    <w:name w:val="Font Style12"/>
    <w:uiPriority w:val="99"/>
    <w:rsid w:val="00EB4276"/>
    <w:rPr>
      <w:rFonts w:ascii="Times New Roman" w:hAnsi="Times New Roman" w:cs="Times New Roman"/>
      <w:i/>
      <w:iCs/>
      <w:sz w:val="22"/>
      <w:szCs w:val="22"/>
    </w:rPr>
  </w:style>
  <w:style w:type="character" w:customStyle="1" w:styleId="footnotereference">
    <w:name w:val="footnotereference"/>
    <w:basedOn w:val="DefaultParagraphFont"/>
    <w:rsid w:val="00FD0AA9"/>
  </w:style>
  <w:style w:type="paragraph" w:styleId="Revision">
    <w:name w:val="Revision"/>
    <w:hidden/>
    <w:uiPriority w:val="99"/>
    <w:semiHidden/>
    <w:rsid w:val="00D17D44"/>
    <w:pPr>
      <w:spacing w:after="0" w:line="240" w:lineRule="auto"/>
    </w:pPr>
    <w:rPr>
      <w:rFonts w:ascii="Calibri" w:eastAsia="Calibri" w:hAnsi="Calibri" w:cs="Times New Roman"/>
      <w:lang w:eastAsia="ru-RU"/>
    </w:rPr>
  </w:style>
  <w:style w:type="character" w:customStyle="1" w:styleId="ListParagraphChar1">
    <w:name w:val="List Paragraph Char1"/>
    <w:aliases w:val="List Paragraph 1 Char,Bullets Char,List Paragraph (numbered (a)) Char,Scriptoria bullet points Char,HotarirePunct1 Char,Bullet Char,Заголовок 3 глава Char,Akapit z listą BS Char,Outlines a.b.c. Char,List_Paragraph Char,Ha Char"/>
    <w:basedOn w:val="DefaultParagraphFont"/>
    <w:link w:val="ListParagraph"/>
    <w:uiPriority w:val="99"/>
    <w:qFormat/>
    <w:locked/>
    <w:rsid w:val="00F513FA"/>
    <w:rPr>
      <w:rFonts w:ascii="Calibri" w:eastAsia="Calibri" w:hAnsi="Calibri" w:cs="Times New Roman"/>
      <w:lang w:eastAsia="ru-RU"/>
    </w:rPr>
  </w:style>
  <w:style w:type="table" w:styleId="TableGrid">
    <w:name w:val="Table Grid"/>
    <w:basedOn w:val="TableNormal"/>
    <w:rsid w:val="005C305E"/>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960525"/>
    <w:rPr>
      <w:color w:val="605E5C"/>
      <w:shd w:val="clear" w:color="auto" w:fill="E1DFDD"/>
    </w:rPr>
  </w:style>
  <w:style w:type="character" w:customStyle="1" w:styleId="Heading4Char">
    <w:name w:val="Heading 4 Char"/>
    <w:basedOn w:val="DefaultParagraphFont"/>
    <w:link w:val="Heading4"/>
    <w:uiPriority w:val="9"/>
    <w:semiHidden/>
    <w:rsid w:val="00557102"/>
    <w:rPr>
      <w:rFonts w:asciiTheme="majorHAnsi" w:eastAsiaTheme="majorEastAsia" w:hAnsiTheme="majorHAnsi" w:cstheme="majorBidi"/>
      <w:i/>
      <w:iCs/>
      <w:color w:val="365F91" w:themeColor="accent1" w:themeShade="BF"/>
      <w:lang w:eastAsia="ru-RU"/>
    </w:rPr>
  </w:style>
  <w:style w:type="character" w:styleId="Strong">
    <w:name w:val="Strong"/>
    <w:basedOn w:val="DefaultParagraphFont"/>
    <w:uiPriority w:val="22"/>
    <w:qFormat/>
    <w:rsid w:val="00557102"/>
    <w:rPr>
      <w:b/>
      <w:bCs/>
    </w:rPr>
  </w:style>
  <w:style w:type="paragraph" w:styleId="Header">
    <w:name w:val="header"/>
    <w:basedOn w:val="Normal"/>
    <w:link w:val="HeaderChar"/>
    <w:uiPriority w:val="99"/>
    <w:unhideWhenUsed/>
    <w:rsid w:val="006913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69130A"/>
    <w:rPr>
      <w:rFonts w:ascii="Calibri" w:eastAsia="Calibri" w:hAnsi="Calibri" w:cs="Times New Roman"/>
      <w:lang w:eastAsia="ru-RU"/>
    </w:rPr>
  </w:style>
  <w:style w:type="paragraph" w:styleId="Footer">
    <w:name w:val="footer"/>
    <w:basedOn w:val="Normal"/>
    <w:link w:val="FooterChar"/>
    <w:uiPriority w:val="99"/>
    <w:unhideWhenUsed/>
    <w:rsid w:val="006913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69130A"/>
    <w:rPr>
      <w:rFonts w:ascii="Calibri" w:eastAsia="Calibri" w:hAnsi="Calibri" w:cs="Times New Roman"/>
      <w:lang w:eastAsia="ru-RU"/>
    </w:rPr>
  </w:style>
  <w:style w:type="paragraph" w:styleId="FootnoteText">
    <w:name w:val="footnote text"/>
    <w:basedOn w:val="Normal"/>
    <w:link w:val="FootnoteTextChar"/>
    <w:unhideWhenUsed/>
    <w:rsid w:val="0067795A"/>
    <w:pPr>
      <w:spacing w:after="0" w:line="240" w:lineRule="auto"/>
      <w:ind w:firstLine="720"/>
      <w:jc w:val="both"/>
    </w:pPr>
    <w:rPr>
      <w:rFonts w:ascii="Times New Roman" w:eastAsia="Times New Roman" w:hAnsi="Times New Roman"/>
      <w:sz w:val="20"/>
      <w:szCs w:val="20"/>
      <w:lang w:val="en-US" w:eastAsia="en-US"/>
    </w:rPr>
  </w:style>
  <w:style w:type="character" w:customStyle="1" w:styleId="FootnoteTextChar">
    <w:name w:val="Footnote Text Char"/>
    <w:basedOn w:val="DefaultParagraphFont"/>
    <w:link w:val="FootnoteText"/>
    <w:rsid w:val="0067795A"/>
    <w:rPr>
      <w:rFonts w:ascii="Times New Roman" w:eastAsia="Times New Roman" w:hAnsi="Times New Roman" w:cs="Times New Roman"/>
      <w:sz w:val="20"/>
      <w:szCs w:val="20"/>
      <w:lang w:val="en-US"/>
    </w:rPr>
  </w:style>
  <w:style w:type="character" w:styleId="FootnoteReference0">
    <w:name w:val="footnote reference"/>
    <w:aliases w:val="16 Point,Superscript 6 Point,Superscript 6 Point + 11 pt,ftref,BVI fnr,BVI fnr Car Car,BVI fnr Car,BVI fnr Car Car Car Car,Footnote text,Footnotes refss,Footnote Reference1,Footnote Reference Number,Footnote Reference_LVL6,fr"/>
    <w:uiPriority w:val="99"/>
    <w:unhideWhenUsed/>
    <w:rsid w:val="0067795A"/>
    <w:rPr>
      <w:vertAlign w:val="superscript"/>
    </w:rPr>
  </w:style>
  <w:style w:type="paragraph" w:styleId="BodyText">
    <w:name w:val="Body Text"/>
    <w:basedOn w:val="Normal"/>
    <w:link w:val="BodyTextChar"/>
    <w:uiPriority w:val="1"/>
    <w:qFormat/>
    <w:rsid w:val="00FD7B82"/>
    <w:pPr>
      <w:widowControl w:val="0"/>
      <w:autoSpaceDE w:val="0"/>
      <w:autoSpaceDN w:val="0"/>
      <w:spacing w:after="0" w:line="240" w:lineRule="auto"/>
      <w:jc w:val="both"/>
    </w:pPr>
    <w:rPr>
      <w:rFonts w:cs="Calibri"/>
      <w:color w:val="6C6463"/>
      <w:sz w:val="24"/>
      <w:szCs w:val="24"/>
      <w:lang w:val="en" w:eastAsia="en-US" w:bidi="en-US"/>
    </w:rPr>
  </w:style>
  <w:style w:type="character" w:customStyle="1" w:styleId="BodyTextChar">
    <w:name w:val="Body Text Char"/>
    <w:basedOn w:val="DefaultParagraphFont"/>
    <w:link w:val="BodyText"/>
    <w:uiPriority w:val="1"/>
    <w:rsid w:val="00FD7B82"/>
    <w:rPr>
      <w:rFonts w:ascii="Calibri" w:eastAsia="Calibri" w:hAnsi="Calibri" w:cs="Calibri"/>
      <w:color w:val="6C6463"/>
      <w:sz w:val="24"/>
      <w:szCs w:val="24"/>
      <w:lang w:val="en" w:bidi="en-US"/>
    </w:rPr>
  </w:style>
  <w:style w:type="paragraph" w:customStyle="1" w:styleId="P68B1DB1-TableParagraph5">
    <w:name w:val="P68B1DB1-TableParagraph5"/>
    <w:basedOn w:val="Normal"/>
    <w:rsid w:val="00FD7B82"/>
    <w:pPr>
      <w:widowControl w:val="0"/>
      <w:autoSpaceDE w:val="0"/>
      <w:autoSpaceDN w:val="0"/>
      <w:spacing w:after="0" w:line="240" w:lineRule="auto"/>
      <w:ind w:left="114"/>
      <w:jc w:val="both"/>
    </w:pPr>
    <w:rPr>
      <w:rFonts w:ascii="Times New Roman" w:eastAsia="Times New Roman" w:hAnsi="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0781">
      <w:bodyDiv w:val="1"/>
      <w:marLeft w:val="0"/>
      <w:marRight w:val="0"/>
      <w:marTop w:val="0"/>
      <w:marBottom w:val="0"/>
      <w:divBdr>
        <w:top w:val="none" w:sz="0" w:space="0" w:color="auto"/>
        <w:left w:val="none" w:sz="0" w:space="0" w:color="auto"/>
        <w:bottom w:val="none" w:sz="0" w:space="0" w:color="auto"/>
        <w:right w:val="none" w:sz="0" w:space="0" w:color="auto"/>
      </w:divBdr>
    </w:div>
    <w:div w:id="459884440">
      <w:bodyDiv w:val="1"/>
      <w:marLeft w:val="0"/>
      <w:marRight w:val="0"/>
      <w:marTop w:val="0"/>
      <w:marBottom w:val="0"/>
      <w:divBdr>
        <w:top w:val="none" w:sz="0" w:space="0" w:color="auto"/>
        <w:left w:val="none" w:sz="0" w:space="0" w:color="auto"/>
        <w:bottom w:val="none" w:sz="0" w:space="0" w:color="auto"/>
        <w:right w:val="none" w:sz="0" w:space="0" w:color="auto"/>
      </w:divBdr>
      <w:divsChild>
        <w:div w:id="423918524">
          <w:marLeft w:val="0"/>
          <w:marRight w:val="0"/>
          <w:marTop w:val="0"/>
          <w:marBottom w:val="0"/>
          <w:divBdr>
            <w:top w:val="none" w:sz="0" w:space="0" w:color="auto"/>
            <w:left w:val="none" w:sz="0" w:space="0" w:color="auto"/>
            <w:bottom w:val="none" w:sz="0" w:space="0" w:color="auto"/>
            <w:right w:val="none" w:sz="0" w:space="0" w:color="auto"/>
          </w:divBdr>
          <w:divsChild>
            <w:div w:id="1034498252">
              <w:marLeft w:val="0"/>
              <w:marRight w:val="0"/>
              <w:marTop w:val="0"/>
              <w:marBottom w:val="0"/>
              <w:divBdr>
                <w:top w:val="none" w:sz="0" w:space="0" w:color="auto"/>
                <w:left w:val="none" w:sz="0" w:space="0" w:color="auto"/>
                <w:bottom w:val="none" w:sz="0" w:space="0" w:color="auto"/>
                <w:right w:val="none" w:sz="0" w:space="0" w:color="auto"/>
              </w:divBdr>
              <w:divsChild>
                <w:div w:id="4152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2818">
      <w:bodyDiv w:val="1"/>
      <w:marLeft w:val="0"/>
      <w:marRight w:val="0"/>
      <w:marTop w:val="0"/>
      <w:marBottom w:val="0"/>
      <w:divBdr>
        <w:top w:val="none" w:sz="0" w:space="0" w:color="auto"/>
        <w:left w:val="none" w:sz="0" w:space="0" w:color="auto"/>
        <w:bottom w:val="none" w:sz="0" w:space="0" w:color="auto"/>
        <w:right w:val="none" w:sz="0" w:space="0" w:color="auto"/>
      </w:divBdr>
    </w:div>
    <w:div w:id="1198196841">
      <w:bodyDiv w:val="1"/>
      <w:marLeft w:val="0"/>
      <w:marRight w:val="0"/>
      <w:marTop w:val="0"/>
      <w:marBottom w:val="0"/>
      <w:divBdr>
        <w:top w:val="none" w:sz="0" w:space="0" w:color="auto"/>
        <w:left w:val="none" w:sz="0" w:space="0" w:color="auto"/>
        <w:bottom w:val="none" w:sz="0" w:space="0" w:color="auto"/>
        <w:right w:val="none" w:sz="0" w:space="0" w:color="auto"/>
      </w:divBdr>
      <w:divsChild>
        <w:div w:id="1858538942">
          <w:marLeft w:val="0"/>
          <w:marRight w:val="0"/>
          <w:marTop w:val="0"/>
          <w:marBottom w:val="0"/>
          <w:divBdr>
            <w:top w:val="none" w:sz="0" w:space="0" w:color="auto"/>
            <w:left w:val="none" w:sz="0" w:space="0" w:color="auto"/>
            <w:bottom w:val="none" w:sz="0" w:space="0" w:color="auto"/>
            <w:right w:val="none" w:sz="0" w:space="0" w:color="auto"/>
          </w:divBdr>
          <w:divsChild>
            <w:div w:id="1146359091">
              <w:marLeft w:val="0"/>
              <w:marRight w:val="0"/>
              <w:marTop w:val="0"/>
              <w:marBottom w:val="0"/>
              <w:divBdr>
                <w:top w:val="none" w:sz="0" w:space="0" w:color="auto"/>
                <w:left w:val="none" w:sz="0" w:space="0" w:color="auto"/>
                <w:bottom w:val="none" w:sz="0" w:space="0" w:color="auto"/>
                <w:right w:val="none" w:sz="0" w:space="0" w:color="auto"/>
              </w:divBdr>
              <w:divsChild>
                <w:div w:id="748235857">
                  <w:marLeft w:val="0"/>
                  <w:marRight w:val="0"/>
                  <w:marTop w:val="0"/>
                  <w:marBottom w:val="0"/>
                  <w:divBdr>
                    <w:top w:val="none" w:sz="0" w:space="0" w:color="auto"/>
                    <w:left w:val="none" w:sz="0" w:space="0" w:color="auto"/>
                    <w:bottom w:val="none" w:sz="0" w:space="0" w:color="auto"/>
                    <w:right w:val="none" w:sz="0" w:space="0" w:color="auto"/>
                  </w:divBdr>
                  <w:divsChild>
                    <w:div w:id="11093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1100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86">
          <w:marLeft w:val="0"/>
          <w:marRight w:val="0"/>
          <w:marTop w:val="0"/>
          <w:marBottom w:val="0"/>
          <w:divBdr>
            <w:top w:val="none" w:sz="0" w:space="0" w:color="auto"/>
            <w:left w:val="none" w:sz="0" w:space="0" w:color="auto"/>
            <w:bottom w:val="none" w:sz="0" w:space="0" w:color="auto"/>
            <w:right w:val="none" w:sz="0" w:space="0" w:color="auto"/>
          </w:divBdr>
          <w:divsChild>
            <w:div w:id="751388792">
              <w:marLeft w:val="0"/>
              <w:marRight w:val="0"/>
              <w:marTop w:val="0"/>
              <w:marBottom w:val="0"/>
              <w:divBdr>
                <w:top w:val="none" w:sz="0" w:space="0" w:color="auto"/>
                <w:left w:val="none" w:sz="0" w:space="0" w:color="auto"/>
                <w:bottom w:val="none" w:sz="0" w:space="0" w:color="auto"/>
                <w:right w:val="none" w:sz="0" w:space="0" w:color="auto"/>
              </w:divBdr>
              <w:divsChild>
                <w:div w:id="1671135">
                  <w:marLeft w:val="0"/>
                  <w:marRight w:val="0"/>
                  <w:marTop w:val="0"/>
                  <w:marBottom w:val="0"/>
                  <w:divBdr>
                    <w:top w:val="none" w:sz="0" w:space="0" w:color="auto"/>
                    <w:left w:val="none" w:sz="0" w:space="0" w:color="auto"/>
                    <w:bottom w:val="none" w:sz="0" w:space="0" w:color="auto"/>
                    <w:right w:val="none" w:sz="0" w:space="0" w:color="auto"/>
                  </w:divBdr>
                  <w:divsChild>
                    <w:div w:id="7647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6B63-B9E9-4401-A412-5DCD852A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4716</Words>
  <Characters>26885</Characters>
  <Application>Microsoft Office Word</Application>
  <DocSecurity>4</DocSecurity>
  <Lines>224</Lines>
  <Paragraphs>63</Paragraphs>
  <ScaleCrop>false</ScaleCrop>
  <HeadingPairs>
    <vt:vector size="8" baseType="variant">
      <vt:variant>
        <vt:lpstr>Title</vt:lpstr>
      </vt:variant>
      <vt:variant>
        <vt:i4>1</vt:i4>
      </vt:variant>
      <vt:variant>
        <vt:lpstr>Название</vt:lpstr>
      </vt:variant>
      <vt:variant>
        <vt:i4>1</vt:i4>
      </vt:variant>
      <vt:variant>
        <vt:lpstr>Titre</vt:lpstr>
      </vt:variant>
      <vt:variant>
        <vt:i4>1</vt:i4>
      </vt:variant>
      <vt:variant>
        <vt:lpstr>Titlu</vt:lpstr>
      </vt:variant>
      <vt:variant>
        <vt:i4>1</vt:i4>
      </vt:variant>
    </vt:vector>
  </HeadingPairs>
  <TitlesOfParts>
    <vt:vector size="4" baseType="lpstr">
      <vt:lpstr/>
      <vt:lpstr/>
      <vt: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Veronica Lopotenco</cp:lastModifiedBy>
  <cp:revision>2</cp:revision>
  <cp:lastPrinted>2023-08-17T06:58:00Z</cp:lastPrinted>
  <dcterms:created xsi:type="dcterms:W3CDTF">2024-01-28T17:21:00Z</dcterms:created>
  <dcterms:modified xsi:type="dcterms:W3CDTF">2024-01-28T17:21:00Z</dcterms:modified>
</cp:coreProperties>
</file>